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81" w:rsidRDefault="00D94A81" w:rsidP="00FA0907">
      <w:pPr>
        <w:spacing w:after="0"/>
        <w:jc w:val="center"/>
        <w:rPr>
          <w:rFonts w:cs="Times New Roman"/>
          <w:b/>
          <w:bCs/>
          <w:sz w:val="28"/>
          <w:szCs w:val="28"/>
          <w:lang w:val="en-US"/>
        </w:rPr>
      </w:pPr>
      <w:bookmarkStart w:id="0" w:name="_GoBack"/>
      <w:bookmarkEnd w:id="0"/>
      <w:r w:rsidRPr="00FA0907">
        <w:rPr>
          <w:b/>
          <w:bCs/>
          <w:sz w:val="28"/>
          <w:szCs w:val="28"/>
          <w:lang w:val="en-US"/>
        </w:rPr>
        <w:t>Stakeholder Process</w:t>
      </w:r>
    </w:p>
    <w:p w:rsidR="00D94A81" w:rsidRDefault="00D94A81" w:rsidP="00464D12">
      <w:pPr>
        <w:spacing w:after="0"/>
        <w:jc w:val="center"/>
        <w:rPr>
          <w:b/>
          <w:bCs/>
          <w:sz w:val="28"/>
          <w:szCs w:val="28"/>
          <w:lang w:val="en-US"/>
        </w:rPr>
      </w:pPr>
      <w:r>
        <w:rPr>
          <w:b/>
          <w:bCs/>
          <w:sz w:val="28"/>
          <w:szCs w:val="28"/>
          <w:lang w:val="en-US"/>
        </w:rPr>
        <w:t>Proposal for Key Elements of the CBP</w:t>
      </w:r>
    </w:p>
    <w:p w:rsidR="00D94A81" w:rsidRDefault="00D94A81" w:rsidP="00464D12">
      <w:pPr>
        <w:spacing w:after="0"/>
        <w:jc w:val="center"/>
        <w:rPr>
          <w:rFonts w:cs="Times New Roman"/>
          <w:b/>
          <w:bCs/>
          <w:lang w:val="en-US"/>
        </w:rPr>
      </w:pPr>
    </w:p>
    <w:p w:rsidR="00D94A81" w:rsidRPr="00CF783F" w:rsidRDefault="00D94A81" w:rsidP="00586F4C">
      <w:pPr>
        <w:rPr>
          <w:rFonts w:cs="Times New Roman"/>
          <w:i/>
          <w:iCs/>
          <w:u w:val="single"/>
          <w:lang w:val="en-US"/>
        </w:rPr>
      </w:pPr>
      <w:r>
        <w:rPr>
          <w:i/>
          <w:iCs/>
          <w:u w:val="single"/>
          <w:lang w:val="en-US"/>
        </w:rPr>
        <w:t>Process</w:t>
      </w:r>
    </w:p>
    <w:p w:rsidR="00D94A81" w:rsidRPr="00CF783F" w:rsidRDefault="00D94A81" w:rsidP="00140A56">
      <w:pPr>
        <w:rPr>
          <w:rFonts w:cs="Times New Roman"/>
          <w:lang w:val="en-US"/>
        </w:rPr>
      </w:pPr>
      <w:r>
        <w:rPr>
          <w:lang w:val="en-US"/>
        </w:rPr>
        <w:t xml:space="preserve">This document presents a </w:t>
      </w:r>
      <w:r w:rsidR="00D03398">
        <w:rPr>
          <w:lang w:val="en-US"/>
        </w:rPr>
        <w:t>proposal for key elements of the</w:t>
      </w:r>
      <w:r>
        <w:rPr>
          <w:lang w:val="en-US"/>
        </w:rPr>
        <w:t xml:space="preserve"> Competitive Bidding Process (“CBP”) in connection with </w:t>
      </w:r>
      <w:smartTag w:uri="urn:schemas-microsoft-com:office:smarttags" w:element="stockticker">
        <w:r>
          <w:rPr>
            <w:lang w:val="en-US"/>
          </w:rPr>
          <w:t>AEP</w:t>
        </w:r>
      </w:smartTag>
      <w:r>
        <w:rPr>
          <w:lang w:val="en-US"/>
        </w:rPr>
        <w:t xml:space="preserve"> Ohio’s Electric Security Plan (“</w:t>
      </w:r>
      <w:smartTag w:uri="urn:schemas-microsoft-com:office:smarttags" w:element="stockticker">
        <w:r>
          <w:rPr>
            <w:lang w:val="en-US"/>
          </w:rPr>
          <w:t>ESP</w:t>
        </w:r>
      </w:smartTag>
      <w:r>
        <w:rPr>
          <w:lang w:val="en-US"/>
        </w:rPr>
        <w:t>”)</w:t>
      </w:r>
      <w:r w:rsidRPr="00CF783F">
        <w:rPr>
          <w:lang w:val="en-US"/>
        </w:rPr>
        <w:t xml:space="preserve">. </w:t>
      </w:r>
      <w:r>
        <w:rPr>
          <w:lang w:val="en-US"/>
        </w:rPr>
        <w:t xml:space="preserve"> </w:t>
      </w:r>
    </w:p>
    <w:p w:rsidR="00D94A81" w:rsidRDefault="00D94A81" w:rsidP="00586F4C">
      <w:pPr>
        <w:rPr>
          <w:lang w:val="en-US"/>
        </w:rPr>
      </w:pPr>
      <w:smartTag w:uri="urn:schemas-microsoft-com:office:smarttags" w:element="stockticker">
        <w:r>
          <w:rPr>
            <w:lang w:val="en-US"/>
          </w:rPr>
          <w:t>AEP</w:t>
        </w:r>
      </w:smartTag>
      <w:r>
        <w:rPr>
          <w:lang w:val="en-US"/>
        </w:rPr>
        <w:t xml:space="preserve"> Ohio’s intent is to discuss these key elements at the workshop to be held on </w:t>
      </w:r>
      <w:smartTag w:uri="urn:schemas-microsoft-com:office:smarttags" w:element="date">
        <w:smartTagPr>
          <w:attr w:name="Month" w:val="10"/>
          <w:attr w:name="Day" w:val="25"/>
          <w:attr w:name="Year" w:val="2012"/>
        </w:smartTagPr>
        <w:r>
          <w:rPr>
            <w:lang w:val="en-US"/>
          </w:rPr>
          <w:t>October 25, 2012</w:t>
        </w:r>
      </w:smartTag>
      <w:r>
        <w:rPr>
          <w:lang w:val="en-US"/>
        </w:rPr>
        <w:t xml:space="preserve">.  Additionally, stakeholders are invited to submit written comments on these key elements by close of business on </w:t>
      </w:r>
      <w:smartTag w:uri="urn:schemas-microsoft-com:office:smarttags" w:element="date">
        <w:smartTagPr>
          <w:attr w:name="Month" w:val="10"/>
          <w:attr w:name="Day" w:val="29"/>
          <w:attr w:name="Year" w:val="2012"/>
        </w:smartTagPr>
        <w:r>
          <w:rPr>
            <w:lang w:val="en-US"/>
          </w:rPr>
          <w:t>October 29, 2012</w:t>
        </w:r>
      </w:smartTag>
      <w:r>
        <w:rPr>
          <w:lang w:val="en-US"/>
        </w:rPr>
        <w:t xml:space="preserve"> via email to </w:t>
      </w:r>
      <w:hyperlink r:id="rId8" w:history="1">
        <w:r w:rsidRPr="002D1EAD">
          <w:rPr>
            <w:rStyle w:val="Hyperlink"/>
            <w:lang w:val="en-US"/>
          </w:rPr>
          <w:t>OhioCBP@aep.com</w:t>
        </w:r>
      </w:hyperlink>
      <w:r>
        <w:rPr>
          <w:lang w:val="en-US"/>
        </w:rPr>
        <w:t xml:space="preserve">. </w:t>
      </w:r>
    </w:p>
    <w:p w:rsidR="00D94A81" w:rsidRDefault="00D94A81" w:rsidP="00C36B91">
      <w:pPr>
        <w:rPr>
          <w:lang w:val="en-US"/>
        </w:rPr>
      </w:pPr>
      <w:r>
        <w:rPr>
          <w:lang w:val="en-US"/>
        </w:rPr>
        <w:t xml:space="preserve">After considering the workshop discussion and written comments, </w:t>
      </w:r>
      <w:smartTag w:uri="urn:schemas-microsoft-com:office:smarttags" w:element="stockticker">
        <w:r>
          <w:rPr>
            <w:lang w:val="en-US"/>
          </w:rPr>
          <w:t>AEP</w:t>
        </w:r>
      </w:smartTag>
      <w:r>
        <w:rPr>
          <w:lang w:val="en-US"/>
        </w:rPr>
        <w:t xml:space="preserve"> Ohio will develop draft documents including a Master SSO Supply Agreement, Auction Rules, an indicative schedule, and Communications Protocols.  A second workshop to discuss these documents is planned for </w:t>
      </w:r>
      <w:smartTag w:uri="urn:schemas-microsoft-com:office:smarttags" w:element="stockticker">
        <w:smartTag w:uri="urn:schemas-microsoft-com:office:smarttags" w:element="date">
          <w:smartTagPr>
            <w:attr w:name="Month" w:val="11"/>
            <w:attr w:name="Day" w:val="9"/>
            <w:attr w:name="Year" w:val="2012"/>
          </w:smartTagPr>
          <w:r>
            <w:rPr>
              <w:lang w:val="en-US"/>
            </w:rPr>
            <w:t>November 9, 2012</w:t>
          </w:r>
        </w:smartTag>
      </w:smartTag>
      <w:r>
        <w:rPr>
          <w:lang w:val="en-US"/>
        </w:rPr>
        <w:t>.  A third workshop will be held later in November as needed.</w:t>
      </w:r>
    </w:p>
    <w:p w:rsidR="00D94A81" w:rsidRPr="00E92DC2" w:rsidRDefault="00D94A81" w:rsidP="004B25AA">
      <w:pPr>
        <w:rPr>
          <w:rFonts w:cs="Times New Roman"/>
          <w:lang w:val="en-US"/>
        </w:rPr>
      </w:pPr>
      <w:r>
        <w:rPr>
          <w:lang w:val="en-US"/>
        </w:rPr>
        <w:t xml:space="preserve">This document does not include a discussion of matters that are subject to a determination by the Public Utilities Commission of Ohio (“PUCO”) on Rehearing in the </w:t>
      </w:r>
      <w:smartTag w:uri="urn:schemas-microsoft-com:office:smarttags" w:element="stockticker">
        <w:r>
          <w:rPr>
            <w:lang w:val="en-US"/>
          </w:rPr>
          <w:t>ESP</w:t>
        </w:r>
      </w:smartTag>
      <w:r>
        <w:rPr>
          <w:lang w:val="en-US"/>
        </w:rPr>
        <w:t xml:space="preserve"> case, such as the manner in which auction results would impact customer rates.  Depending on the timing and content of the PUCO decision, these discussions may be integrated into this stakeholder process.   </w:t>
      </w:r>
    </w:p>
    <w:p w:rsidR="00D94A81" w:rsidRPr="00CF783F" w:rsidRDefault="00D94A81" w:rsidP="00E92DC2">
      <w:pPr>
        <w:rPr>
          <w:rFonts w:cs="Times New Roman"/>
          <w:lang w:val="en-US"/>
        </w:rPr>
      </w:pPr>
      <w:r w:rsidRPr="00E92DC2">
        <w:rPr>
          <w:lang w:val="en-US"/>
        </w:rPr>
        <w:t xml:space="preserve">  </w:t>
      </w:r>
    </w:p>
    <w:p w:rsidR="00D94A81" w:rsidRPr="00CF783F" w:rsidRDefault="00D94A81" w:rsidP="00586F4C">
      <w:pPr>
        <w:rPr>
          <w:lang w:val="en-US"/>
        </w:rPr>
      </w:pPr>
      <w:r w:rsidRPr="00CF783F">
        <w:rPr>
          <w:lang w:val="en-US"/>
        </w:rPr>
        <w:t xml:space="preserve">          </w:t>
      </w:r>
    </w:p>
    <w:p w:rsidR="00D94A81" w:rsidRPr="00CF783F" w:rsidRDefault="00D94A81" w:rsidP="002F6AE3">
      <w:pPr>
        <w:spacing w:after="200" w:line="276" w:lineRule="auto"/>
        <w:rPr>
          <w:rFonts w:cs="Times New Roman"/>
          <w:i/>
          <w:iCs/>
          <w:u w:val="single"/>
          <w:lang w:val="en-US"/>
        </w:rPr>
      </w:pPr>
      <w:r>
        <w:rPr>
          <w:rFonts w:cs="Times New Roman"/>
          <w:b/>
          <w:bCs/>
        </w:rPr>
        <w:br w:type="page"/>
      </w:r>
      <w:r>
        <w:rPr>
          <w:i/>
          <w:iCs/>
          <w:u w:val="single"/>
          <w:lang w:val="en-US"/>
        </w:rPr>
        <w:lastRenderedPageBreak/>
        <w:t>Key Elements by Topic</w:t>
      </w:r>
    </w:p>
    <w:p w:rsidR="00D94A81" w:rsidRDefault="00D94A81" w:rsidP="00E92DC2">
      <w:pPr>
        <w:pStyle w:val="ListParagraph"/>
        <w:spacing w:after="0"/>
        <w:ind w:left="360"/>
        <w:rPr>
          <w:rFonts w:cs="Times New Roman"/>
          <w:b/>
          <w:bCs/>
        </w:rPr>
      </w:pPr>
    </w:p>
    <w:p w:rsidR="00D94A81" w:rsidRPr="000D31BB" w:rsidRDefault="00D94A81" w:rsidP="00EC0C7C">
      <w:pPr>
        <w:pStyle w:val="ListParagraph"/>
        <w:numPr>
          <w:ilvl w:val="0"/>
          <w:numId w:val="14"/>
        </w:numPr>
        <w:spacing w:after="0"/>
        <w:rPr>
          <w:rFonts w:cs="Times New Roman"/>
          <w:b/>
          <w:bCs/>
        </w:rPr>
      </w:pPr>
      <w:r>
        <w:rPr>
          <w:b/>
          <w:bCs/>
        </w:rPr>
        <w:t xml:space="preserve">Product Definition.  </w:t>
      </w:r>
      <w:smartTag w:uri="urn:schemas-microsoft-com:office:smarttags" w:element="stockticker">
        <w:r w:rsidRPr="000D31BB">
          <w:t>AEP</w:t>
        </w:r>
      </w:smartTag>
      <w:r>
        <w:t xml:space="preserve"> Ohio</w:t>
      </w:r>
      <w:r w:rsidRPr="000D31BB">
        <w:t xml:space="preserve"> will procure a slice-of-system, energy-only product. </w:t>
      </w:r>
      <w:r>
        <w:t xml:space="preserve"> Specifically:</w:t>
      </w:r>
    </w:p>
    <w:p w:rsidR="00D94A81" w:rsidRDefault="00D94A81" w:rsidP="00407B36">
      <w:pPr>
        <w:pStyle w:val="ListParagraph"/>
        <w:spacing w:after="0"/>
        <w:ind w:left="360"/>
        <w:rPr>
          <w:rFonts w:cs="Times New Roman"/>
        </w:rPr>
      </w:pPr>
    </w:p>
    <w:p w:rsidR="00D94A81" w:rsidRDefault="00D94A81" w:rsidP="00EC0C7C">
      <w:pPr>
        <w:pStyle w:val="ListParagraph"/>
        <w:numPr>
          <w:ilvl w:val="0"/>
          <w:numId w:val="15"/>
        </w:numPr>
        <w:spacing w:after="0"/>
      </w:pPr>
      <w:r>
        <w:t xml:space="preserve">The supplier will deliver energy to </w:t>
      </w:r>
      <w:smartTag w:uri="urn:schemas-microsoft-com:office:smarttags" w:element="stockticker">
        <w:r>
          <w:t>AEP</w:t>
        </w:r>
      </w:smartTag>
      <w:r>
        <w:t xml:space="preserve"> Ohio’s PJM sub-account through a PJM internal bilateral transaction.</w:t>
      </w:r>
    </w:p>
    <w:p w:rsidR="00D94A81" w:rsidRDefault="00D94A81" w:rsidP="00EC0C7C">
      <w:pPr>
        <w:pStyle w:val="ListParagraph"/>
        <w:numPr>
          <w:ilvl w:val="0"/>
          <w:numId w:val="15"/>
        </w:numPr>
        <w:spacing w:after="0"/>
      </w:pPr>
      <w:r>
        <w:t xml:space="preserve">The delivery point will be the </w:t>
      </w:r>
      <w:smartTag w:uri="urn:schemas-microsoft-com:office:smarttags" w:element="stockticker">
        <w:r>
          <w:t>AEP</w:t>
        </w:r>
      </w:smartTag>
      <w:r>
        <w:t xml:space="preserve"> Zone or a (to-be-developed) </w:t>
      </w:r>
      <w:smartTag w:uri="urn:schemas-microsoft-com:office:smarttags" w:element="stockticker">
        <w:r>
          <w:t>AEP</w:t>
        </w:r>
      </w:smartTag>
      <w:r>
        <w:t>-Ohio Aggregate zone.</w:t>
      </w:r>
    </w:p>
    <w:p w:rsidR="00D94A81" w:rsidRDefault="00D94A81" w:rsidP="00EC0C7C">
      <w:pPr>
        <w:pStyle w:val="ListParagraph"/>
        <w:numPr>
          <w:ilvl w:val="0"/>
          <w:numId w:val="15"/>
        </w:numPr>
        <w:spacing w:after="0"/>
      </w:pPr>
      <w:r>
        <w:t xml:space="preserve">The required delivery schedule will be 1% per tranche won of the hourly energy requirement of </w:t>
      </w:r>
      <w:smartTag w:uri="urn:schemas-microsoft-com:office:smarttags" w:element="stockticker">
        <w:r>
          <w:t>AEP</w:t>
        </w:r>
      </w:smartTag>
      <w:r>
        <w:t xml:space="preserve"> Ohio’s SSO customers, as determined by AEP in the initial day after delivery.  (Tranche size of 1% will apply for the first auctio</w:t>
      </w:r>
      <w:r w:rsidR="00A62DD2">
        <w:t>n for 10% of the energy of SSO c</w:t>
      </w:r>
      <w:r>
        <w:t>ustomers.  The tranche size is subject to potential revision in subsequent auctions for the remaining 50% and 40%.)</w:t>
      </w:r>
    </w:p>
    <w:p w:rsidR="00D94A81" w:rsidRDefault="00D94A81" w:rsidP="00EC0C7C">
      <w:pPr>
        <w:pStyle w:val="ListParagraph"/>
        <w:numPr>
          <w:ilvl w:val="0"/>
          <w:numId w:val="15"/>
        </w:numPr>
        <w:spacing w:after="0"/>
      </w:pPr>
      <w:smartTag w:uri="urn:schemas-microsoft-com:office:smarttags" w:element="stockticker">
        <w:r>
          <w:t>AEP</w:t>
        </w:r>
      </w:smartTag>
      <w:r>
        <w:t xml:space="preserve"> will determine the delivery schedule as soon as practical on the day following delivery and communicate that schedule to each supplier electronically. </w:t>
      </w:r>
    </w:p>
    <w:p w:rsidR="00D94A81" w:rsidRDefault="00D94A81" w:rsidP="00EC0C7C">
      <w:pPr>
        <w:pStyle w:val="ListParagraph"/>
        <w:numPr>
          <w:ilvl w:val="0"/>
          <w:numId w:val="15"/>
        </w:numPr>
        <w:spacing w:after="0"/>
      </w:pPr>
      <w:smartTag w:uri="urn:schemas-microsoft-com:office:smarttags" w:element="stockticker">
        <w:r w:rsidRPr="00833F06">
          <w:t>AEP</w:t>
        </w:r>
      </w:smartTag>
      <w:r w:rsidRPr="00833F06">
        <w:t xml:space="preserve"> will </w:t>
      </w:r>
      <w:r w:rsidR="00D03398" w:rsidRPr="00833F06">
        <w:t xml:space="preserve">unilaterally </w:t>
      </w:r>
      <w:r w:rsidRPr="00833F06">
        <w:t xml:space="preserve">enter the schedule as </w:t>
      </w:r>
      <w:r w:rsidR="00D03398" w:rsidRPr="00833F06">
        <w:t>an</w:t>
      </w:r>
      <w:r w:rsidRPr="00833F06">
        <w:t xml:space="preserve"> internal bilateral transaction in a</w:t>
      </w:r>
      <w:r>
        <w:t xml:space="preserve"> PJM account designated by the supplier and there will be no need for supplier confirmation.</w:t>
      </w:r>
    </w:p>
    <w:p w:rsidR="00D94A81" w:rsidRDefault="00D94A81" w:rsidP="00EC0C7C">
      <w:pPr>
        <w:pStyle w:val="ListParagraph"/>
        <w:numPr>
          <w:ilvl w:val="0"/>
          <w:numId w:val="15"/>
        </w:numPr>
        <w:spacing w:after="0"/>
      </w:pPr>
      <w:r>
        <w:t>The schedule will be specified as settling against the day-ahead price at the delivery point.</w:t>
      </w:r>
    </w:p>
    <w:p w:rsidR="00D94A81" w:rsidRDefault="00D94A81" w:rsidP="00EC0C7C">
      <w:pPr>
        <w:pStyle w:val="ListParagraph"/>
        <w:numPr>
          <w:ilvl w:val="0"/>
          <w:numId w:val="15"/>
        </w:numPr>
        <w:spacing w:after="0"/>
      </w:pPr>
      <w:r>
        <w:t xml:space="preserve">Consistent with the provision of an energy-only product, all SSO load will remain in </w:t>
      </w:r>
      <w:smartTag w:uri="urn:schemas-microsoft-com:office:smarttags" w:element="stockticker">
        <w:r>
          <w:t>AEP</w:t>
        </w:r>
      </w:smartTag>
      <w:r>
        <w:t>’s/</w:t>
      </w:r>
      <w:smartTag w:uri="urn:schemas-microsoft-com:office:smarttags" w:element="stockticker">
        <w:r>
          <w:t>AEP</w:t>
        </w:r>
      </w:smartTag>
      <w:r>
        <w:t xml:space="preserve"> Ohio’s PJM account.  Power purchased through the CBP will be considered a prudent purchased power transaction in the wholesale market made by </w:t>
      </w:r>
      <w:smartTag w:uri="urn:schemas-microsoft-com:office:smarttags" w:element="stockticker">
        <w:r>
          <w:t>AEP</w:t>
        </w:r>
      </w:smartTag>
      <w:r>
        <w:t xml:space="preserve"> Ohio for purposes of the Fuel Adjustment Clause (“FAC”) and, prior to corporate separation, for purposes of pool accounting.</w:t>
      </w:r>
    </w:p>
    <w:p w:rsidR="00D94A81" w:rsidRPr="003A11C4" w:rsidRDefault="00D94A81" w:rsidP="00EC0C7C">
      <w:pPr>
        <w:pStyle w:val="ListParagraph"/>
        <w:numPr>
          <w:ilvl w:val="0"/>
          <w:numId w:val="15"/>
        </w:numPr>
        <w:spacing w:after="0"/>
      </w:pPr>
      <w:smartTag w:uri="urn:schemas-microsoft-com:office:smarttags" w:element="stockticker">
        <w:r w:rsidRPr="003A11C4">
          <w:t>AEP</w:t>
        </w:r>
      </w:smartTag>
      <w:r w:rsidRPr="003A11C4">
        <w:t xml:space="preserve"> Ohio will arrange for suppliers to access (1 week to 2 weeks ahead) Peak Load Contribution (“</w:t>
      </w:r>
      <w:smartTag w:uri="urn:schemas-microsoft-com:office:smarttags" w:element="stockticker">
        <w:r w:rsidRPr="003A11C4">
          <w:t>PLC</w:t>
        </w:r>
      </w:smartTag>
      <w:r w:rsidRPr="003A11C4">
        <w:t xml:space="preserve">”) data </w:t>
      </w:r>
      <w:r>
        <w:t>or similar data</w:t>
      </w:r>
      <w:r w:rsidRPr="003A11C4">
        <w:t xml:space="preserve"> in order to assess potential migration.</w:t>
      </w:r>
    </w:p>
    <w:p w:rsidR="00D94A81" w:rsidRPr="003A11C4" w:rsidRDefault="00D94A81" w:rsidP="00EC0C7C">
      <w:pPr>
        <w:pStyle w:val="ListParagraph"/>
        <w:numPr>
          <w:ilvl w:val="0"/>
          <w:numId w:val="15"/>
        </w:numPr>
        <w:spacing w:after="0"/>
      </w:pPr>
      <w:smartTag w:uri="urn:schemas-microsoft-com:office:smarttags" w:element="stockticker">
        <w:r w:rsidRPr="003A11C4">
          <w:t>AEP</w:t>
        </w:r>
      </w:smartTag>
      <w:r w:rsidRPr="003A11C4">
        <w:t xml:space="preserve"> Ohio will bear all transmission, scheduling and ancillary service costs associated with the load of SSO customers.</w:t>
      </w:r>
    </w:p>
    <w:p w:rsidR="00D94A81" w:rsidRPr="003A11C4" w:rsidRDefault="00D94A81" w:rsidP="00EC0C7C">
      <w:pPr>
        <w:pStyle w:val="ListParagraph"/>
        <w:numPr>
          <w:ilvl w:val="0"/>
          <w:numId w:val="15"/>
        </w:numPr>
        <w:spacing w:after="0"/>
      </w:pPr>
      <w:r w:rsidRPr="003A11C4">
        <w:t xml:space="preserve">Suppliers are completely responsible to provide the scheduled energy to the delivery point and to bear all costs that are associated with this responsibility.  </w:t>
      </w:r>
    </w:p>
    <w:p w:rsidR="00D94A81" w:rsidRDefault="00D94A81" w:rsidP="00EC0C7C">
      <w:pPr>
        <w:pStyle w:val="ListParagraph"/>
        <w:numPr>
          <w:ilvl w:val="0"/>
          <w:numId w:val="15"/>
        </w:numPr>
        <w:spacing w:after="0"/>
      </w:pPr>
      <w:r>
        <w:t xml:space="preserve">Payments for energy will be based </w:t>
      </w:r>
      <w:r w:rsidRPr="003A11C4">
        <w:t xml:space="preserve">upon the </w:t>
      </w:r>
      <w:r w:rsidRPr="00293351">
        <w:t>auction clearing price times a seasonal factor</w:t>
      </w:r>
      <w:r w:rsidRPr="003A11C4">
        <w:t xml:space="preserve"> applied to energy volumes scheduled</w:t>
      </w:r>
      <w:r>
        <w:t>.</w:t>
      </w:r>
    </w:p>
    <w:p w:rsidR="00D94A81" w:rsidRDefault="00D94A81" w:rsidP="00EC0C7C">
      <w:pPr>
        <w:pStyle w:val="ListParagraph"/>
        <w:numPr>
          <w:ilvl w:val="0"/>
          <w:numId w:val="15"/>
        </w:numPr>
        <w:spacing w:after="0"/>
      </w:pPr>
      <w:r>
        <w:t xml:space="preserve">As the product is for the delivery of wholesale energy and not a transfer of load to the supplier, PJM’s 60-day reconciliation process does not apply to this transaction.  Any true-ups will be conducted through the FAC.  There will be no true-ups with suppliers except in case of significant deviations from load.  </w:t>
      </w:r>
    </w:p>
    <w:p w:rsidR="00D94A81" w:rsidRDefault="00D94A81" w:rsidP="00A5385C">
      <w:pPr>
        <w:spacing w:after="0"/>
        <w:rPr>
          <w:rFonts w:cs="Times New Roman"/>
          <w:i/>
          <w:iCs/>
        </w:rPr>
      </w:pPr>
    </w:p>
    <w:p w:rsidR="00D94A81" w:rsidRDefault="00D94A81" w:rsidP="00A5385C">
      <w:pPr>
        <w:spacing w:after="0"/>
        <w:rPr>
          <w:rFonts w:cs="Times New Roman"/>
          <w:i/>
          <w:iCs/>
        </w:rPr>
      </w:pPr>
    </w:p>
    <w:p w:rsidR="00D94A81" w:rsidRDefault="00D94A81" w:rsidP="00A5385C">
      <w:pPr>
        <w:spacing w:after="0"/>
        <w:rPr>
          <w:rFonts w:cs="Times New Roman"/>
          <w:i/>
          <w:iCs/>
        </w:rPr>
      </w:pPr>
    </w:p>
    <w:p w:rsidR="00D94A81" w:rsidRPr="00293351" w:rsidRDefault="002F6AE3" w:rsidP="00EC0C7C">
      <w:pPr>
        <w:pStyle w:val="ListParagraph"/>
        <w:numPr>
          <w:ilvl w:val="0"/>
          <w:numId w:val="14"/>
        </w:numPr>
        <w:spacing w:after="0"/>
        <w:rPr>
          <w:rFonts w:cs="Times New Roman"/>
          <w:b/>
          <w:bCs/>
        </w:rPr>
      </w:pPr>
      <w:r>
        <w:rPr>
          <w:b/>
          <w:bCs/>
        </w:rPr>
        <w:br w:type="page"/>
      </w:r>
      <w:r w:rsidR="00D94A81">
        <w:rPr>
          <w:b/>
          <w:bCs/>
        </w:rPr>
        <w:lastRenderedPageBreak/>
        <w:t xml:space="preserve">Term Structure and Auction Timing.  </w:t>
      </w:r>
      <w:r w:rsidR="00D94A81">
        <w:t xml:space="preserve">The delivery periods of the products, and the timing of the first auction, will follow the PUCO’s </w:t>
      </w:r>
      <w:smartTag w:uri="urn:schemas-microsoft-com:office:smarttags" w:element="stockticker">
        <w:smartTag w:uri="urn:schemas-microsoft-com:office:smarttags" w:element="date">
          <w:smartTagPr>
            <w:attr w:name="Month" w:val="8"/>
            <w:attr w:name="Day" w:val="8"/>
            <w:attr w:name="Year" w:val="2012"/>
          </w:smartTagPr>
          <w:r w:rsidR="00D94A81">
            <w:t>August 8, 2012</w:t>
          </w:r>
        </w:smartTag>
      </w:smartTag>
      <w:r w:rsidR="00D94A81">
        <w:t xml:space="preserve"> Opinion and Order in Case No. 11-346-EL-SSO et. al. (“</w:t>
      </w:r>
      <w:smartTag w:uri="urn:schemas-microsoft-com:office:smarttags" w:element="stockticker">
        <w:r w:rsidR="00D94A81">
          <w:t>ESP</w:t>
        </w:r>
      </w:smartTag>
      <w:r w:rsidR="00D94A81">
        <w:t xml:space="preserve"> Decision”).  The remaining auctions will be conducted as single product auctions starting in January 2014 as provided below. </w:t>
      </w:r>
    </w:p>
    <w:p w:rsidR="00D94A81" w:rsidRPr="00ED6A4B" w:rsidRDefault="00D94A81" w:rsidP="00293351">
      <w:pPr>
        <w:pStyle w:val="ListParagraph"/>
        <w:spacing w:after="0"/>
        <w:ind w:left="360"/>
        <w:rPr>
          <w:rFonts w:cs="Times New Roman"/>
          <w:b/>
          <w:bCs/>
        </w:rPr>
      </w:pPr>
    </w:p>
    <w:p w:rsidR="00D94A81" w:rsidRDefault="00D94A81" w:rsidP="007C4788">
      <w:pPr>
        <w:pStyle w:val="Caption"/>
        <w:spacing w:after="120"/>
        <w:rPr>
          <w:noProof/>
          <w:lang w:val="en-US" w:eastAsia="en-US"/>
        </w:rPr>
      </w:pPr>
      <w:r>
        <w:t xml:space="preserve">Figure </w:t>
      </w:r>
      <w:r w:rsidR="00EC0C7C">
        <w:fldChar w:fldCharType="begin"/>
      </w:r>
      <w:r w:rsidR="00EC0C7C">
        <w:instrText xml:space="preserve"> SEQ Figure \* ARABIC </w:instrText>
      </w:r>
      <w:r w:rsidR="00EC0C7C">
        <w:fldChar w:fldCharType="separate"/>
      </w:r>
      <w:r w:rsidR="00F158D8">
        <w:rPr>
          <w:noProof/>
        </w:rPr>
        <w:t>1</w:t>
      </w:r>
      <w:r w:rsidR="00EC0C7C">
        <w:rPr>
          <w:noProof/>
        </w:rPr>
        <w:fldChar w:fldCharType="end"/>
      </w:r>
      <w:r>
        <w:t>.  Auction Timing.</w:t>
      </w:r>
      <w:r>
        <w:rPr>
          <w:noProof/>
          <w:lang w:val="en-US" w:eastAsia="en-US"/>
        </w:rPr>
        <w:t xml:space="preserve"> </w:t>
      </w:r>
    </w:p>
    <w:p w:rsidR="00D94A81" w:rsidRDefault="007448CA" w:rsidP="00293351">
      <w:pPr>
        <w:spacing w:after="200" w:line="276" w:lineRule="auto"/>
        <w:jc w:val="center"/>
        <w:rPr>
          <w:rFonts w:cs="Times New Roman"/>
          <w:noProof/>
          <w:lang w:val="en-US"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17pt">
            <v:imagedata r:id="rId9" o:title=""/>
          </v:shape>
        </w:pict>
      </w:r>
    </w:p>
    <w:p w:rsidR="00D94A81" w:rsidRDefault="00D94A81" w:rsidP="00EC0C7C">
      <w:pPr>
        <w:pStyle w:val="ListParagraph"/>
        <w:numPr>
          <w:ilvl w:val="0"/>
          <w:numId w:val="17"/>
        </w:numPr>
        <w:spacing w:after="0"/>
        <w:ind w:left="720"/>
      </w:pPr>
      <w:r>
        <w:t xml:space="preserve">The </w:t>
      </w:r>
      <w:smartTag w:uri="urn:schemas-microsoft-com:office:smarttags" w:element="stockticker">
        <w:r>
          <w:t>ESP</w:t>
        </w:r>
      </w:smartTag>
      <w:r>
        <w:t xml:space="preserve"> Decision specifies that a CBP for energy and capacity will start on </w:t>
      </w:r>
      <w:smartTag w:uri="urn:schemas-microsoft-com:office:smarttags" w:element="stockticker">
        <w:r>
          <w:t>June 1, 2015</w:t>
        </w:r>
      </w:smartTag>
      <w:r>
        <w:t xml:space="preserve"> and that all energy-only products will end on </w:t>
      </w:r>
      <w:smartTag w:uri="urn:schemas-microsoft-com:office:smarttags" w:element="stockticker">
        <w:r>
          <w:t>May 31, 2015</w:t>
        </w:r>
      </w:smartTag>
      <w:r>
        <w:t xml:space="preserve">.  </w:t>
      </w:r>
    </w:p>
    <w:p w:rsidR="00D94A81" w:rsidRDefault="00D94A81" w:rsidP="00EC0C7C">
      <w:pPr>
        <w:pStyle w:val="ListParagraph"/>
        <w:numPr>
          <w:ilvl w:val="0"/>
          <w:numId w:val="17"/>
        </w:numPr>
        <w:spacing w:after="0"/>
        <w:ind w:left="720"/>
      </w:pPr>
      <w:r>
        <w:t xml:space="preserve">As specified in the </w:t>
      </w:r>
      <w:smartTag w:uri="urn:schemas-microsoft-com:office:smarttags" w:element="stockticker">
        <w:r>
          <w:t>ESP</w:t>
        </w:r>
      </w:smartTag>
      <w:r>
        <w:t xml:space="preserve"> Decision, there are three delivery periods for energy-only products:  </w:t>
      </w:r>
    </w:p>
    <w:p w:rsidR="00D94A81" w:rsidRDefault="00D94A81" w:rsidP="00EC0C7C">
      <w:pPr>
        <w:pStyle w:val="ListParagraph"/>
        <w:numPr>
          <w:ilvl w:val="1"/>
          <w:numId w:val="17"/>
        </w:numPr>
        <w:spacing w:after="0"/>
        <w:ind w:left="1440"/>
      </w:pPr>
      <w:r>
        <w:t xml:space="preserve">The “long product”: with a delivery period that begins </w:t>
      </w:r>
      <w:r w:rsidRPr="00AB23C8">
        <w:t xml:space="preserve">six months </w:t>
      </w:r>
      <w:r>
        <w:t>after the</w:t>
      </w:r>
      <w:r w:rsidRPr="00AB23C8">
        <w:t xml:space="preserve"> final orders in both the </w:t>
      </w:r>
      <w:smartTag w:uri="urn:schemas-microsoft-com:office:smarttags" w:element="stockticker">
        <w:r w:rsidRPr="00AB23C8">
          <w:t>ESP</w:t>
        </w:r>
      </w:smartTag>
      <w:r w:rsidRPr="00AB23C8">
        <w:t xml:space="preserve"> and corporate separation dockets</w:t>
      </w:r>
      <w:r>
        <w:t xml:space="preserve"> (and ends </w:t>
      </w:r>
      <w:smartTag w:uri="urn:schemas-microsoft-com:office:smarttags" w:element="stockticker">
        <w:r>
          <w:t>May 31, 2015</w:t>
        </w:r>
      </w:smartTag>
      <w:r>
        <w:t>).  This product is represented by the green bar in the figure above;</w:t>
      </w:r>
    </w:p>
    <w:p w:rsidR="00D94A81" w:rsidRDefault="00D94A81" w:rsidP="00EC0C7C">
      <w:pPr>
        <w:pStyle w:val="ListParagraph"/>
        <w:numPr>
          <w:ilvl w:val="1"/>
          <w:numId w:val="17"/>
        </w:numPr>
        <w:spacing w:after="0"/>
        <w:ind w:left="1440"/>
        <w:rPr>
          <w:rFonts w:cs="Times New Roman"/>
        </w:rPr>
      </w:pPr>
      <w:r>
        <w:t xml:space="preserve">The “one-year product”: with a delivery period that begins </w:t>
      </w:r>
      <w:smartTag w:uri="urn:schemas-microsoft-com:office:smarttags" w:element="stockticker">
        <w:r>
          <w:t>June 1, 2014</w:t>
        </w:r>
      </w:smartTag>
      <w:r>
        <w:t xml:space="preserve"> (and ends </w:t>
      </w:r>
      <w:smartTag w:uri="urn:schemas-microsoft-com:office:smarttags" w:element="stockticker">
        <w:r>
          <w:t>May 31, 2015</w:t>
        </w:r>
      </w:smartTag>
      <w:r>
        <w:t>).  This product is represented by the yellow bars in the figure above; and</w:t>
      </w:r>
    </w:p>
    <w:p w:rsidR="00D94A81" w:rsidRDefault="00D94A81" w:rsidP="00EC0C7C">
      <w:pPr>
        <w:pStyle w:val="ListParagraph"/>
        <w:numPr>
          <w:ilvl w:val="1"/>
          <w:numId w:val="17"/>
        </w:numPr>
        <w:spacing w:after="0"/>
        <w:ind w:left="1440"/>
      </w:pPr>
      <w:r>
        <w:t xml:space="preserve">The “stub product”: with a delivery period that begins </w:t>
      </w:r>
      <w:smartTag w:uri="urn:schemas-microsoft-com:office:smarttags" w:element="stockticker">
        <w:r>
          <w:t>January 1, 2015</w:t>
        </w:r>
      </w:smartTag>
      <w:r>
        <w:t xml:space="preserve"> (and ends </w:t>
      </w:r>
      <w:smartTag w:uri="urn:schemas-microsoft-com:office:smarttags" w:element="stockticker">
        <w:r>
          <w:t>May 31, 2015</w:t>
        </w:r>
      </w:smartTag>
      <w:r>
        <w:t>).  This product is represented by the brown bar in the figure above.</w:t>
      </w:r>
    </w:p>
    <w:p w:rsidR="00D94A81" w:rsidRDefault="00D94A81" w:rsidP="00EC0C7C">
      <w:pPr>
        <w:pStyle w:val="ListParagraph"/>
        <w:numPr>
          <w:ilvl w:val="0"/>
          <w:numId w:val="17"/>
        </w:numPr>
        <w:spacing w:after="0"/>
        <w:ind w:left="720"/>
      </w:pPr>
      <w:r>
        <w:t xml:space="preserve">The energy-only products serve to transition </w:t>
      </w:r>
      <w:smartTag w:uri="urn:schemas-microsoft-com:office:smarttags" w:element="stockticker">
        <w:r>
          <w:t>AEP</w:t>
        </w:r>
      </w:smartTag>
      <w:r>
        <w:t xml:space="preserve"> Ohio to be at a full energy auction by </w:t>
      </w:r>
      <w:smartTag w:uri="urn:schemas-microsoft-com:office:smarttags" w:element="stockticker">
        <w:r>
          <w:t>January 1, 2015</w:t>
        </w:r>
      </w:smartTag>
      <w:r>
        <w:t>.  The percentage of load for each of the delivery periods is as follows:</w:t>
      </w:r>
    </w:p>
    <w:p w:rsidR="00D94A81" w:rsidRDefault="00D94A81" w:rsidP="00EC0C7C">
      <w:pPr>
        <w:pStyle w:val="ListParagraph"/>
        <w:numPr>
          <w:ilvl w:val="1"/>
          <w:numId w:val="17"/>
        </w:numPr>
        <w:spacing w:after="0"/>
        <w:ind w:left="1080"/>
      </w:pPr>
      <w:r>
        <w:t>10% for the long product;</w:t>
      </w:r>
    </w:p>
    <w:p w:rsidR="00D94A81" w:rsidRDefault="00D94A81" w:rsidP="00EC0C7C">
      <w:pPr>
        <w:pStyle w:val="ListParagraph"/>
        <w:numPr>
          <w:ilvl w:val="1"/>
          <w:numId w:val="17"/>
        </w:numPr>
        <w:spacing w:after="0"/>
        <w:ind w:left="1080"/>
        <w:rPr>
          <w:rFonts w:cs="Times New Roman"/>
        </w:rPr>
      </w:pPr>
      <w:r>
        <w:t xml:space="preserve">50% for the one-year product (bringing the total to 60% as specified in the </w:t>
      </w:r>
      <w:smartTag w:uri="urn:schemas-microsoft-com:office:smarttags" w:element="stockticker">
        <w:r>
          <w:t>ESP</w:t>
        </w:r>
      </w:smartTag>
      <w:r>
        <w:t xml:space="preserve"> Decision); and </w:t>
      </w:r>
    </w:p>
    <w:p w:rsidR="00D94A81" w:rsidRDefault="00D94A81" w:rsidP="00EC0C7C">
      <w:pPr>
        <w:pStyle w:val="ListParagraph"/>
        <w:numPr>
          <w:ilvl w:val="1"/>
          <w:numId w:val="17"/>
        </w:numPr>
        <w:spacing w:after="0"/>
        <w:ind w:left="1080"/>
      </w:pPr>
      <w:r>
        <w:t>40% for the stub product (bringing the total to 100%).</w:t>
      </w:r>
    </w:p>
    <w:p w:rsidR="00D94A81" w:rsidRDefault="00D94A81" w:rsidP="00EC0C7C">
      <w:pPr>
        <w:pStyle w:val="ListParagraph"/>
        <w:numPr>
          <w:ilvl w:val="0"/>
          <w:numId w:val="17"/>
        </w:numPr>
        <w:spacing w:after="0"/>
        <w:ind w:left="720"/>
      </w:pPr>
      <w:r>
        <w:t>The long product will be divided into 10 tranc</w:t>
      </w:r>
      <w:r w:rsidR="00A62DD2">
        <w:t>hes, each representing 1% of SSO</w:t>
      </w:r>
      <w:r>
        <w:t xml:space="preserve"> load.  The tranche size for subsequent auctions may remain at 1% or may be set higher in consultation with stakeholders.</w:t>
      </w:r>
    </w:p>
    <w:p w:rsidR="00D94A81" w:rsidRDefault="00D94A81" w:rsidP="00EC0C7C">
      <w:pPr>
        <w:pStyle w:val="ListParagraph"/>
        <w:numPr>
          <w:ilvl w:val="0"/>
          <w:numId w:val="17"/>
        </w:numPr>
        <w:spacing w:after="0"/>
        <w:ind w:left="720"/>
      </w:pPr>
      <w:r>
        <w:t xml:space="preserve">A single auction will be held to procure the long product, to be held tentatively in May 2013, assuming that final orders for the </w:t>
      </w:r>
      <w:smartTag w:uri="urn:schemas-microsoft-com:office:smarttags" w:element="stockticker">
        <w:r>
          <w:t>ESP</w:t>
        </w:r>
      </w:smartTag>
      <w:r>
        <w:t xml:space="preserve"> and in the corporate separation docket are issued by the end of 2012. </w:t>
      </w:r>
    </w:p>
    <w:p w:rsidR="00D94A81" w:rsidRDefault="00D94A81" w:rsidP="00EC0C7C">
      <w:pPr>
        <w:pStyle w:val="ListParagraph"/>
        <w:numPr>
          <w:ilvl w:val="0"/>
          <w:numId w:val="17"/>
        </w:numPr>
        <w:spacing w:after="0"/>
        <w:ind w:left="720"/>
      </w:pPr>
      <w:r>
        <w:t xml:space="preserve">After the first energy-only auction, a stakeholder process would be held to integrate lessons learned into the CBP for the remaining products, as described further below under “improvement workshops”. </w:t>
      </w:r>
    </w:p>
    <w:p w:rsidR="00D94A81" w:rsidRPr="00A478C7" w:rsidRDefault="00D94A81" w:rsidP="00EC0C7C">
      <w:pPr>
        <w:pStyle w:val="ListParagraph"/>
        <w:numPr>
          <w:ilvl w:val="0"/>
          <w:numId w:val="17"/>
        </w:numPr>
        <w:spacing w:after="0"/>
        <w:ind w:left="720"/>
        <w:rPr>
          <w:rFonts w:cs="Times New Roman"/>
        </w:rPr>
      </w:pPr>
      <w:r>
        <w:lastRenderedPageBreak/>
        <w:t xml:space="preserve">Two energy-only auctions would be held to procure the one-year product in January and March 2014, with each auction having 25 tranches of 1% </w:t>
      </w:r>
      <w:r w:rsidR="00A62DD2">
        <w:t xml:space="preserve">of SSO load </w:t>
      </w:r>
      <w:r>
        <w:t>up for bid (tranche size may be subject to change as discussed above).  These auctions are held close to the beginning of the delivery period.</w:t>
      </w:r>
    </w:p>
    <w:p w:rsidR="00D94A81" w:rsidRDefault="00D94A81" w:rsidP="00EC0C7C">
      <w:pPr>
        <w:pStyle w:val="ListParagraph"/>
        <w:numPr>
          <w:ilvl w:val="0"/>
          <w:numId w:val="17"/>
        </w:numPr>
        <w:spacing w:after="0"/>
        <w:ind w:left="720"/>
      </w:pPr>
      <w:r>
        <w:t xml:space="preserve">The last energy-only auction would be held in June 2014 with enough time to conduct combined energy and capacity auctions for delivery starting </w:t>
      </w:r>
      <w:smartTag w:uri="urn:schemas-microsoft-com:office:smarttags" w:element="stockticker">
        <w:r>
          <w:t>June 1, 2015</w:t>
        </w:r>
      </w:smartTag>
      <w:r>
        <w:t>.</w:t>
      </w:r>
    </w:p>
    <w:p w:rsidR="00D94A81" w:rsidRPr="00A478C7" w:rsidRDefault="00D94A81" w:rsidP="00EC0C7C">
      <w:pPr>
        <w:pStyle w:val="ListParagraph"/>
        <w:numPr>
          <w:ilvl w:val="0"/>
          <w:numId w:val="17"/>
        </w:numPr>
        <w:spacing w:after="0"/>
        <w:ind w:left="720"/>
        <w:rPr>
          <w:rFonts w:cs="Times New Roman"/>
        </w:rPr>
      </w:pPr>
      <w:r>
        <w:t xml:space="preserve">All of the energy-only auctions would feature a single product and be conducted using a single set of rules.    </w:t>
      </w:r>
    </w:p>
    <w:p w:rsidR="00D94A81" w:rsidRDefault="00D94A81" w:rsidP="00F73EEB">
      <w:pPr>
        <w:spacing w:after="0"/>
        <w:rPr>
          <w:rFonts w:cs="Times New Roman"/>
        </w:rPr>
      </w:pPr>
    </w:p>
    <w:p w:rsidR="00D94A81" w:rsidRPr="00F73EEB" w:rsidRDefault="00D94A81" w:rsidP="00F73EEB">
      <w:pPr>
        <w:spacing w:after="0"/>
        <w:rPr>
          <w:rFonts w:cs="Times New Roman"/>
          <w:highlight w:val="yellow"/>
        </w:rPr>
      </w:pPr>
      <w:r>
        <w:t xml:space="preserve"> </w:t>
      </w:r>
    </w:p>
    <w:p w:rsidR="00D94A81" w:rsidRDefault="00D94A81">
      <w:pPr>
        <w:spacing w:after="200" w:line="276" w:lineRule="auto"/>
        <w:rPr>
          <w:rFonts w:cs="Times New Roman"/>
          <w:b/>
          <w:bCs/>
        </w:rPr>
      </w:pPr>
    </w:p>
    <w:p w:rsidR="00D94A81" w:rsidRPr="00AF31B3" w:rsidRDefault="00D94A81" w:rsidP="00EC0C7C">
      <w:pPr>
        <w:pStyle w:val="ListParagraph"/>
        <w:numPr>
          <w:ilvl w:val="0"/>
          <w:numId w:val="14"/>
        </w:numPr>
        <w:spacing w:after="0"/>
        <w:rPr>
          <w:rFonts w:cs="Times New Roman"/>
          <w:b/>
          <w:bCs/>
        </w:rPr>
      </w:pPr>
      <w:r>
        <w:rPr>
          <w:rFonts w:cs="Times New Roman"/>
          <w:b/>
          <w:bCs/>
        </w:rPr>
        <w:br w:type="page"/>
      </w:r>
      <w:r w:rsidRPr="00AF31B3">
        <w:rPr>
          <w:b/>
          <w:bCs/>
        </w:rPr>
        <w:lastRenderedPageBreak/>
        <w:t xml:space="preserve">Master </w:t>
      </w:r>
      <w:r w:rsidR="00D03398">
        <w:rPr>
          <w:b/>
          <w:bCs/>
        </w:rPr>
        <w:t xml:space="preserve">SSO Supply </w:t>
      </w:r>
      <w:r w:rsidRPr="00AF31B3">
        <w:rPr>
          <w:b/>
          <w:bCs/>
        </w:rPr>
        <w:t>Agreement</w:t>
      </w:r>
      <w:r>
        <w:rPr>
          <w:b/>
          <w:bCs/>
        </w:rPr>
        <w:t xml:space="preserve"> (excluding credit).  </w:t>
      </w:r>
      <w:smartTag w:uri="urn:schemas-microsoft-com:office:smarttags" w:element="stockticker">
        <w:r>
          <w:t>AEP</w:t>
        </w:r>
      </w:smartTag>
      <w:r>
        <w:t xml:space="preserve"> Ohio </w:t>
      </w:r>
      <w:r w:rsidRPr="00737D2E">
        <w:t xml:space="preserve">will use </w:t>
      </w:r>
      <w:r>
        <w:t xml:space="preserve">as a base </w:t>
      </w:r>
      <w:r w:rsidRPr="00737D2E">
        <w:t>the Mas</w:t>
      </w:r>
      <w:r>
        <w:t xml:space="preserve">ter SSO Supply Agreement used in Duke Energy </w:t>
      </w:r>
      <w:smartTag w:uri="urn:schemas-microsoft-com:office:smarttags" w:element="stockticker">
        <w:r>
          <w:t>Ohio</w:t>
        </w:r>
      </w:smartTag>
      <w:r>
        <w:t xml:space="preserve">’s CBP.  The following modifications are expected from this base, mostly due to the energy-only nature of </w:t>
      </w:r>
      <w:smartTag w:uri="urn:schemas-microsoft-com:office:smarttags" w:element="stockticker">
        <w:r>
          <w:t>AEP</w:t>
        </w:r>
      </w:smartTag>
      <w:r>
        <w:t xml:space="preserve"> Ohio’s CBP.</w:t>
      </w:r>
      <w:r>
        <w:rPr>
          <w:b/>
          <w:bCs/>
        </w:rPr>
        <w:t xml:space="preserve"> </w:t>
      </w:r>
    </w:p>
    <w:p w:rsidR="00D94A81" w:rsidRDefault="00D94A81" w:rsidP="00EC0C7C">
      <w:pPr>
        <w:pStyle w:val="ListParagraph"/>
        <w:numPr>
          <w:ilvl w:val="0"/>
          <w:numId w:val="19"/>
        </w:numPr>
        <w:spacing w:after="0"/>
      </w:pPr>
      <w:r>
        <w:t xml:space="preserve">Significant changes will be made in the area of supplier responsibility as the supplier will not be serving load but will only be delivering wholesale energy to </w:t>
      </w:r>
      <w:smartTag w:uri="urn:schemas-microsoft-com:office:smarttags" w:element="stockticker">
        <w:r>
          <w:t>AEP</w:t>
        </w:r>
      </w:smartTag>
      <w:r>
        <w:t xml:space="preserve">.  There will be no need for a sample </w:t>
      </w:r>
      <w:r w:rsidR="00A62DD2">
        <w:t xml:space="preserve">PJM invoice with </w:t>
      </w:r>
      <w:r>
        <w:t>line item</w:t>
      </w:r>
      <w:r w:rsidR="00A62DD2">
        <w:t>s</w:t>
      </w:r>
      <w:r>
        <w:t xml:space="preserve"> designating responsibility.  </w:t>
      </w:r>
    </w:p>
    <w:p w:rsidR="00D94A81" w:rsidRDefault="00D94A81" w:rsidP="00EC0C7C">
      <w:pPr>
        <w:pStyle w:val="ListParagraph"/>
        <w:numPr>
          <w:ilvl w:val="0"/>
          <w:numId w:val="19"/>
        </w:numPr>
        <w:spacing w:after="0"/>
      </w:pPr>
      <w:r>
        <w:t>The supplier will be required to be a PJM member but not an LSE.</w:t>
      </w:r>
    </w:p>
    <w:p w:rsidR="00D94A81" w:rsidRDefault="00D94A81" w:rsidP="00EC0C7C">
      <w:pPr>
        <w:pStyle w:val="ListParagraph"/>
        <w:numPr>
          <w:ilvl w:val="0"/>
          <w:numId w:val="19"/>
        </w:numPr>
        <w:spacing w:after="0"/>
      </w:pPr>
      <w:r>
        <w:t xml:space="preserve">There will be fine-tuning of items like credit cure periods to correspond to </w:t>
      </w:r>
      <w:smartTag w:uri="urn:schemas-microsoft-com:office:smarttags" w:element="stockticker">
        <w:r>
          <w:t>AEP</w:t>
        </w:r>
      </w:smartTag>
      <w:r>
        <w:t xml:space="preserve"> corporate policies, but major changes are not expected and these will be identified in detail when the Master </w:t>
      </w:r>
      <w:r w:rsidR="00A62DD2">
        <w:t xml:space="preserve">SSO Supply </w:t>
      </w:r>
      <w:r>
        <w:t>Agreement is produced for the next workshop.</w:t>
      </w:r>
    </w:p>
    <w:p w:rsidR="00D94A81" w:rsidRDefault="00D94A81" w:rsidP="00300D8D">
      <w:pPr>
        <w:pStyle w:val="ListParagraph"/>
        <w:spacing w:after="0"/>
        <w:ind w:left="360"/>
        <w:rPr>
          <w:rFonts w:cs="Times New Roman"/>
          <w:i/>
          <w:iCs/>
        </w:rPr>
      </w:pPr>
    </w:p>
    <w:p w:rsidR="00D94A81" w:rsidRDefault="00D94A81" w:rsidP="00300D8D">
      <w:pPr>
        <w:pStyle w:val="ListParagraph"/>
        <w:spacing w:after="0"/>
        <w:ind w:left="1080"/>
        <w:rPr>
          <w:rFonts w:cs="Times New Roman"/>
        </w:rPr>
      </w:pPr>
    </w:p>
    <w:p w:rsidR="00D94A81" w:rsidRDefault="00D94A81" w:rsidP="00300D8D">
      <w:pPr>
        <w:pStyle w:val="ListParagraph"/>
        <w:spacing w:after="0"/>
        <w:ind w:left="1080"/>
        <w:rPr>
          <w:rFonts w:cs="Times New Roman"/>
        </w:rPr>
      </w:pPr>
    </w:p>
    <w:p w:rsidR="00D94A81" w:rsidRDefault="00D94A81">
      <w:pPr>
        <w:spacing w:after="200" w:line="276" w:lineRule="auto"/>
        <w:rPr>
          <w:rFonts w:cs="Times New Roman"/>
          <w:b/>
          <w:bCs/>
        </w:rPr>
      </w:pPr>
    </w:p>
    <w:p w:rsidR="00D94A81" w:rsidRPr="003266B3" w:rsidRDefault="00D94A81" w:rsidP="00EC0C7C">
      <w:pPr>
        <w:pStyle w:val="ListParagraph"/>
        <w:numPr>
          <w:ilvl w:val="0"/>
          <w:numId w:val="14"/>
        </w:numPr>
        <w:spacing w:after="0"/>
        <w:rPr>
          <w:rFonts w:cs="Times New Roman"/>
          <w:b/>
          <w:bCs/>
        </w:rPr>
      </w:pPr>
      <w:r>
        <w:rPr>
          <w:rFonts w:cs="Times New Roman"/>
          <w:b/>
          <w:bCs/>
        </w:rPr>
        <w:br w:type="page"/>
      </w:r>
      <w:r>
        <w:rPr>
          <w:b/>
          <w:bCs/>
        </w:rPr>
        <w:lastRenderedPageBreak/>
        <w:t xml:space="preserve">Credit Terms.  </w:t>
      </w:r>
      <w:smartTag w:uri="urn:schemas-microsoft-com:office:smarttags" w:element="stockticker">
        <w:r>
          <w:t>AEP</w:t>
        </w:r>
      </w:smartTag>
      <w:r>
        <w:t xml:space="preserve"> Ohio</w:t>
      </w:r>
      <w:r w:rsidRPr="00737D2E">
        <w:t xml:space="preserve"> will use </w:t>
      </w:r>
      <w:r>
        <w:t xml:space="preserve">as a base </w:t>
      </w:r>
      <w:r w:rsidRPr="00737D2E">
        <w:t xml:space="preserve">the </w:t>
      </w:r>
      <w:r>
        <w:t xml:space="preserve">credit terms of the </w:t>
      </w:r>
      <w:r w:rsidRPr="00737D2E">
        <w:t>Mas</w:t>
      </w:r>
      <w:r>
        <w:t xml:space="preserve">ter SSO Supply Agreement used in Duke Energy </w:t>
      </w:r>
      <w:smartTag w:uri="urn:schemas-microsoft-com:office:smarttags" w:element="stockticker">
        <w:r>
          <w:t>Ohio</w:t>
        </w:r>
      </w:smartTag>
      <w:r>
        <w:t>’s CBP.  A summary of the main provisions is as follows.</w:t>
      </w:r>
    </w:p>
    <w:p w:rsidR="00D94A81" w:rsidRDefault="00D94A81" w:rsidP="00EC0C7C">
      <w:pPr>
        <w:pStyle w:val="ListParagraph"/>
        <w:numPr>
          <w:ilvl w:val="0"/>
          <w:numId w:val="16"/>
        </w:numPr>
        <w:spacing w:after="0"/>
        <w:ind w:left="720"/>
      </w:pPr>
      <w:r>
        <w:t xml:space="preserve">There will be two sets of credit requirements:  an independent credit requirement (“ICR”), which will be an amount per tranche, and a mark-to-market (“MTM”) requirement.  Suppliers that meet specific creditworthiness criteria will be granted an unsecured credit line for each set of credit requirements (one for the ICR and another for the MTM exposure).  </w:t>
      </w:r>
    </w:p>
    <w:p w:rsidR="00D94A81" w:rsidRDefault="00D94A81" w:rsidP="00EC0C7C">
      <w:pPr>
        <w:pStyle w:val="ListParagraph"/>
        <w:numPr>
          <w:ilvl w:val="0"/>
          <w:numId w:val="16"/>
        </w:numPr>
        <w:spacing w:after="0"/>
        <w:ind w:left="720"/>
      </w:pPr>
      <w:r>
        <w:t xml:space="preserve">A supplier may provide security due under the Master </w:t>
      </w:r>
      <w:r w:rsidR="00A62DD2">
        <w:t xml:space="preserve">SSO Supply </w:t>
      </w:r>
      <w:r>
        <w:t xml:space="preserve">Agreement in the form of cash, a letter of credit, or a guaranty.  Cash provided as security under the Master </w:t>
      </w:r>
      <w:r w:rsidR="00A62DD2">
        <w:t xml:space="preserve">SSO Supply </w:t>
      </w:r>
      <w:r>
        <w:t xml:space="preserve">Agreement will be held by AEP Ohio and accrue interest at the Federal Funds rate.  </w:t>
      </w:r>
    </w:p>
    <w:p w:rsidR="00D94A81" w:rsidRDefault="00D94A81" w:rsidP="00EC0C7C">
      <w:pPr>
        <w:pStyle w:val="ListParagraph"/>
        <w:numPr>
          <w:ilvl w:val="0"/>
          <w:numId w:val="16"/>
        </w:numPr>
        <w:spacing w:after="0"/>
        <w:ind w:left="720"/>
      </w:pPr>
      <w:r>
        <w:t xml:space="preserve">The ICR for the long product will be $900,000/tranche due at the time of the execution of the Master </w:t>
      </w:r>
      <w:r w:rsidR="00A62DD2">
        <w:t xml:space="preserve">SSO Supply </w:t>
      </w:r>
      <w:r>
        <w:t xml:space="preserve">Agreement.  The ICR will decline throughout the delivery period, as provided below.  </w:t>
      </w:r>
    </w:p>
    <w:p w:rsidR="00D94A81" w:rsidRDefault="00D94A81" w:rsidP="00065314">
      <w:pPr>
        <w:pStyle w:val="Caption"/>
        <w:jc w:val="left"/>
        <w:rPr>
          <w:rFonts w:cs="Times New Roman"/>
          <w:sz w:val="22"/>
          <w:szCs w:val="22"/>
        </w:rPr>
      </w:pPr>
    </w:p>
    <w:p w:rsidR="00D94A81" w:rsidRPr="00065314" w:rsidRDefault="00D94A81" w:rsidP="00065314">
      <w:pPr>
        <w:pStyle w:val="Caption"/>
        <w:rPr>
          <w:rFonts w:cs="Times New Roman"/>
          <w:sz w:val="22"/>
          <w:szCs w:val="22"/>
        </w:rPr>
      </w:pPr>
      <w:r w:rsidRPr="00065314">
        <w:rPr>
          <w:sz w:val="22"/>
          <w:szCs w:val="22"/>
        </w:rPr>
        <w:t xml:space="preserve">Table </w:t>
      </w:r>
      <w:r w:rsidRPr="00065314">
        <w:rPr>
          <w:sz w:val="22"/>
          <w:szCs w:val="22"/>
        </w:rPr>
        <w:fldChar w:fldCharType="begin"/>
      </w:r>
      <w:r w:rsidRPr="00065314">
        <w:rPr>
          <w:sz w:val="22"/>
          <w:szCs w:val="22"/>
        </w:rPr>
        <w:instrText xml:space="preserve"> SEQ Table \* ARABIC </w:instrText>
      </w:r>
      <w:r w:rsidRPr="00065314">
        <w:rPr>
          <w:sz w:val="22"/>
          <w:szCs w:val="22"/>
        </w:rPr>
        <w:fldChar w:fldCharType="separate"/>
      </w:r>
      <w:r w:rsidR="00F158D8">
        <w:rPr>
          <w:noProof/>
          <w:sz w:val="22"/>
          <w:szCs w:val="22"/>
        </w:rPr>
        <w:t>1</w:t>
      </w:r>
      <w:r w:rsidRPr="00065314">
        <w:rPr>
          <w:sz w:val="22"/>
          <w:szCs w:val="22"/>
        </w:rPr>
        <w:fldChar w:fldCharType="end"/>
      </w:r>
      <w:r w:rsidRPr="00065314">
        <w:rPr>
          <w:sz w:val="22"/>
          <w:szCs w:val="22"/>
        </w:rPr>
        <w:t>.  Credit-Based Tranche Caps.</w:t>
      </w:r>
    </w:p>
    <w:tbl>
      <w:tblPr>
        <w:tblW w:w="6030" w:type="dxa"/>
        <w:tblInd w:w="1740" w:type="dxa"/>
        <w:tblLook w:val="0000" w:firstRow="0" w:lastRow="0" w:firstColumn="0" w:lastColumn="0" w:noHBand="0" w:noVBand="0"/>
      </w:tblPr>
      <w:tblGrid>
        <w:gridCol w:w="3173"/>
        <w:gridCol w:w="2857"/>
      </w:tblGrid>
      <w:tr w:rsidR="00D94A81" w:rsidRPr="00065314">
        <w:trPr>
          <w:trHeight w:val="296"/>
        </w:trPr>
        <w:tc>
          <w:tcPr>
            <w:tcW w:w="3173" w:type="dxa"/>
            <w:tcBorders>
              <w:top w:val="single" w:sz="4" w:space="0" w:color="auto"/>
              <w:left w:val="single" w:sz="4" w:space="0" w:color="auto"/>
              <w:bottom w:val="single" w:sz="4" w:space="0" w:color="auto"/>
              <w:right w:val="single" w:sz="4" w:space="0" w:color="auto"/>
            </w:tcBorders>
            <w:vAlign w:val="bottom"/>
          </w:tcPr>
          <w:p w:rsidR="00D94A81" w:rsidRPr="00065314" w:rsidRDefault="00D94A81" w:rsidP="00065314">
            <w:pPr>
              <w:spacing w:after="0"/>
              <w:jc w:val="center"/>
              <w:rPr>
                <w:rFonts w:eastAsia="Times New Roman" w:cs="Times New Roman"/>
                <w:b/>
                <w:bCs/>
                <w:lang w:val="en-US" w:eastAsia="en-US"/>
              </w:rPr>
            </w:pPr>
            <w:r w:rsidRPr="00065314">
              <w:rPr>
                <w:rFonts w:eastAsia="Times New Roman" w:cs="Times New Roman"/>
                <w:b/>
                <w:bCs/>
                <w:sz w:val="22"/>
                <w:szCs w:val="22"/>
                <w:lang w:val="en-US" w:eastAsia="en-US"/>
              </w:rPr>
              <w:t>Month</w:t>
            </w:r>
          </w:p>
        </w:tc>
        <w:tc>
          <w:tcPr>
            <w:tcW w:w="2857" w:type="dxa"/>
            <w:tcBorders>
              <w:top w:val="single" w:sz="4" w:space="0" w:color="auto"/>
              <w:left w:val="nil"/>
              <w:bottom w:val="single" w:sz="4" w:space="0" w:color="auto"/>
              <w:right w:val="single" w:sz="4" w:space="0" w:color="auto"/>
            </w:tcBorders>
            <w:vAlign w:val="bottom"/>
          </w:tcPr>
          <w:p w:rsidR="00D94A81" w:rsidRPr="00065314" w:rsidRDefault="00D94A81" w:rsidP="00065314">
            <w:pPr>
              <w:spacing w:after="0"/>
              <w:jc w:val="center"/>
              <w:rPr>
                <w:rFonts w:eastAsia="Times New Roman" w:cs="Times New Roman"/>
                <w:b/>
                <w:bCs/>
                <w:lang w:val="en-US" w:eastAsia="en-US"/>
              </w:rPr>
            </w:pPr>
            <w:r w:rsidRPr="00065314">
              <w:rPr>
                <w:rFonts w:eastAsia="Times New Roman" w:cs="Times New Roman"/>
                <w:b/>
                <w:bCs/>
                <w:sz w:val="22"/>
                <w:szCs w:val="22"/>
                <w:lang w:val="en-US" w:eastAsia="en-US"/>
              </w:rPr>
              <w:t>($/tranche)</w:t>
            </w:r>
          </w:p>
        </w:tc>
      </w:tr>
      <w:tr w:rsidR="00D94A81" w:rsidRPr="00065314">
        <w:trPr>
          <w:trHeight w:val="323"/>
        </w:trPr>
        <w:tc>
          <w:tcPr>
            <w:tcW w:w="3173" w:type="dxa"/>
            <w:tcBorders>
              <w:top w:val="nil"/>
              <w:left w:val="single" w:sz="4" w:space="0" w:color="auto"/>
              <w:bottom w:val="single" w:sz="4" w:space="0" w:color="auto"/>
              <w:right w:val="single" w:sz="4" w:space="0" w:color="auto"/>
            </w:tcBorders>
            <w:vAlign w:val="bottom"/>
          </w:tcPr>
          <w:p w:rsidR="00D94A81" w:rsidRPr="00065314" w:rsidRDefault="00D94A81" w:rsidP="00065314">
            <w:pPr>
              <w:spacing w:after="0"/>
              <w:rPr>
                <w:rFonts w:eastAsia="Times New Roman" w:cs="Times New Roman"/>
                <w:lang w:val="en-US" w:eastAsia="en-US"/>
              </w:rPr>
            </w:pPr>
            <w:r>
              <w:rPr>
                <w:rFonts w:eastAsia="Times New Roman" w:cs="Times New Roman"/>
                <w:sz w:val="22"/>
                <w:szCs w:val="22"/>
                <w:lang w:val="en-US" w:eastAsia="en-US"/>
              </w:rPr>
              <w:t>Execution</w:t>
            </w:r>
            <w:r w:rsidR="00D03398">
              <w:rPr>
                <w:rFonts w:eastAsia="Times New Roman" w:cs="Times New Roman"/>
                <w:sz w:val="22"/>
                <w:szCs w:val="22"/>
                <w:lang w:val="en-US" w:eastAsia="en-US"/>
              </w:rPr>
              <w:t xml:space="preserve"> through July</w:t>
            </w:r>
            <w:r w:rsidRPr="00065314">
              <w:rPr>
                <w:rFonts w:eastAsia="Times New Roman" w:cs="Times New Roman"/>
                <w:sz w:val="22"/>
                <w:szCs w:val="22"/>
                <w:lang w:val="en-US" w:eastAsia="en-US"/>
              </w:rPr>
              <w:t xml:space="preserve"> 2013</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$900,000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August 2013</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900,000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September 2013</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900,000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October 2013</w:t>
            </w:r>
          </w:p>
        </w:tc>
        <w:tc>
          <w:tcPr>
            <w:tcW w:w="2857" w:type="dxa"/>
            <w:tcBorders>
              <w:top w:val="nil"/>
              <w:left w:val="nil"/>
              <w:bottom w:val="single" w:sz="4" w:space="0" w:color="auto"/>
              <w:right w:val="single" w:sz="4" w:space="0" w:color="auto"/>
            </w:tcBorders>
            <w:noWrap/>
            <w:vAlign w:val="bottom"/>
          </w:tcPr>
          <w:p w:rsidR="00D94A81" w:rsidRPr="00065314" w:rsidRDefault="00A62DD2" w:rsidP="00065314">
            <w:pPr>
              <w:spacing w:after="0"/>
              <w:jc w:val="center"/>
              <w:rPr>
                <w:rFonts w:eastAsia="Times New Roman" w:cs="Times New Roman"/>
                <w:lang w:val="en-US" w:eastAsia="en-US"/>
              </w:rPr>
            </w:pPr>
            <w:r>
              <w:rPr>
                <w:rFonts w:eastAsia="Times New Roman" w:cs="Times New Roman"/>
                <w:sz w:val="22"/>
                <w:szCs w:val="22"/>
                <w:lang w:val="en-US" w:eastAsia="en-US"/>
              </w:rPr>
              <w:t>9</w:t>
            </w:r>
            <w:r w:rsidR="00D94A81" w:rsidRPr="00065314">
              <w:rPr>
                <w:rFonts w:eastAsia="Times New Roman" w:cs="Times New Roman"/>
                <w:sz w:val="22"/>
                <w:szCs w:val="22"/>
                <w:lang w:val="en-US" w:eastAsia="en-US"/>
              </w:rPr>
              <w:t xml:space="preserve">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November 2013</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800,000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December 2013</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800,000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January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800,000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February 2014</w:t>
            </w:r>
          </w:p>
        </w:tc>
        <w:tc>
          <w:tcPr>
            <w:tcW w:w="2857" w:type="dxa"/>
            <w:tcBorders>
              <w:top w:val="nil"/>
              <w:left w:val="nil"/>
              <w:bottom w:val="single" w:sz="4" w:space="0" w:color="auto"/>
              <w:right w:val="single" w:sz="4" w:space="0" w:color="auto"/>
            </w:tcBorders>
            <w:noWrap/>
            <w:vAlign w:val="bottom"/>
          </w:tcPr>
          <w:p w:rsidR="00D94A81" w:rsidRPr="00065314" w:rsidRDefault="00A62DD2" w:rsidP="00065314">
            <w:pPr>
              <w:spacing w:after="0"/>
              <w:jc w:val="center"/>
              <w:rPr>
                <w:rFonts w:eastAsia="Times New Roman" w:cs="Times New Roman"/>
                <w:lang w:val="en-US" w:eastAsia="en-US"/>
              </w:rPr>
            </w:pPr>
            <w:r>
              <w:rPr>
                <w:rFonts w:eastAsia="Times New Roman" w:cs="Times New Roman"/>
                <w:sz w:val="22"/>
                <w:szCs w:val="22"/>
                <w:lang w:val="en-US" w:eastAsia="en-US"/>
              </w:rPr>
              <w:t>8</w:t>
            </w:r>
            <w:r w:rsidR="00D94A81" w:rsidRPr="00065314">
              <w:rPr>
                <w:rFonts w:eastAsia="Times New Roman" w:cs="Times New Roman"/>
                <w:sz w:val="22"/>
                <w:szCs w:val="22"/>
                <w:lang w:val="en-US" w:eastAsia="en-US"/>
              </w:rPr>
              <w:t xml:space="preserve">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March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600,000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April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600,000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May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600,000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June 2014</w:t>
            </w:r>
          </w:p>
        </w:tc>
        <w:tc>
          <w:tcPr>
            <w:tcW w:w="2857" w:type="dxa"/>
            <w:tcBorders>
              <w:top w:val="nil"/>
              <w:left w:val="nil"/>
              <w:bottom w:val="single" w:sz="4" w:space="0" w:color="auto"/>
              <w:right w:val="single" w:sz="4" w:space="0" w:color="auto"/>
            </w:tcBorders>
            <w:noWrap/>
            <w:vAlign w:val="bottom"/>
          </w:tcPr>
          <w:p w:rsidR="00D94A81" w:rsidRPr="00065314" w:rsidRDefault="00A62DD2" w:rsidP="00065314">
            <w:pPr>
              <w:spacing w:after="0"/>
              <w:jc w:val="center"/>
              <w:rPr>
                <w:rFonts w:eastAsia="Times New Roman" w:cs="Times New Roman"/>
                <w:lang w:val="en-US" w:eastAsia="en-US"/>
              </w:rPr>
            </w:pPr>
            <w:r>
              <w:rPr>
                <w:rFonts w:eastAsia="Times New Roman" w:cs="Times New Roman"/>
                <w:sz w:val="22"/>
                <w:szCs w:val="22"/>
                <w:lang w:val="en-US" w:eastAsia="en-US"/>
              </w:rPr>
              <w:t>6</w:t>
            </w:r>
            <w:r w:rsidR="00D94A81" w:rsidRPr="00065314">
              <w:rPr>
                <w:rFonts w:eastAsia="Times New Roman" w:cs="Times New Roman"/>
                <w:sz w:val="22"/>
                <w:szCs w:val="22"/>
                <w:lang w:val="en-US" w:eastAsia="en-US"/>
              </w:rPr>
              <w:t xml:space="preserve">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July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500,000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August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500,000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September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500,000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October 2014</w:t>
            </w:r>
          </w:p>
        </w:tc>
        <w:tc>
          <w:tcPr>
            <w:tcW w:w="2857" w:type="dxa"/>
            <w:tcBorders>
              <w:top w:val="nil"/>
              <w:left w:val="nil"/>
              <w:bottom w:val="single" w:sz="4" w:space="0" w:color="auto"/>
              <w:right w:val="single" w:sz="4" w:space="0" w:color="auto"/>
            </w:tcBorders>
            <w:noWrap/>
            <w:vAlign w:val="bottom"/>
          </w:tcPr>
          <w:p w:rsidR="00D94A81" w:rsidRPr="00065314" w:rsidRDefault="00A62DD2" w:rsidP="00065314">
            <w:pPr>
              <w:spacing w:after="0"/>
              <w:jc w:val="center"/>
              <w:rPr>
                <w:rFonts w:eastAsia="Times New Roman" w:cs="Times New Roman"/>
                <w:lang w:val="en-US" w:eastAsia="en-US"/>
              </w:rPr>
            </w:pPr>
            <w:r>
              <w:rPr>
                <w:rFonts w:eastAsia="Times New Roman" w:cs="Times New Roman"/>
                <w:sz w:val="22"/>
                <w:szCs w:val="22"/>
                <w:lang w:val="en-US" w:eastAsia="en-US"/>
              </w:rPr>
              <w:t>5</w:t>
            </w:r>
            <w:r w:rsidR="00D94A81" w:rsidRPr="00065314">
              <w:rPr>
                <w:rFonts w:eastAsia="Times New Roman" w:cs="Times New Roman"/>
                <w:sz w:val="22"/>
                <w:szCs w:val="22"/>
                <w:lang w:val="en-US" w:eastAsia="en-US"/>
              </w:rPr>
              <w:t xml:space="preserve">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November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300,000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December 2014</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300,000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January 2015</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300,000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February 2015</w:t>
            </w:r>
          </w:p>
        </w:tc>
        <w:tc>
          <w:tcPr>
            <w:tcW w:w="2857" w:type="dxa"/>
            <w:tcBorders>
              <w:top w:val="nil"/>
              <w:left w:val="nil"/>
              <w:bottom w:val="single" w:sz="4" w:space="0" w:color="auto"/>
              <w:right w:val="single" w:sz="4" w:space="0" w:color="auto"/>
            </w:tcBorders>
            <w:noWrap/>
            <w:vAlign w:val="bottom"/>
          </w:tcPr>
          <w:p w:rsidR="00D94A81" w:rsidRPr="00065314" w:rsidRDefault="00A62DD2" w:rsidP="00065314">
            <w:pPr>
              <w:spacing w:after="0"/>
              <w:jc w:val="center"/>
              <w:rPr>
                <w:rFonts w:eastAsia="Times New Roman" w:cs="Times New Roman"/>
                <w:lang w:val="en-US" w:eastAsia="en-US"/>
              </w:rPr>
            </w:pPr>
            <w:r>
              <w:rPr>
                <w:rFonts w:eastAsia="Times New Roman" w:cs="Times New Roman"/>
                <w:sz w:val="22"/>
                <w:szCs w:val="22"/>
                <w:lang w:val="en-US" w:eastAsia="en-US"/>
              </w:rPr>
              <w:t>3</w:t>
            </w:r>
            <w:r w:rsidR="00D94A81" w:rsidRPr="00065314">
              <w:rPr>
                <w:rFonts w:eastAsia="Times New Roman" w:cs="Times New Roman"/>
                <w:sz w:val="22"/>
                <w:szCs w:val="22"/>
                <w:lang w:val="en-US" w:eastAsia="en-US"/>
              </w:rPr>
              <w:t xml:space="preserve">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March 2015</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200,000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April 2015</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200,000 </w:t>
            </w:r>
          </w:p>
        </w:tc>
      </w:tr>
      <w:tr w:rsidR="00D94A81" w:rsidRPr="00065314">
        <w:trPr>
          <w:trHeight w:val="254"/>
        </w:trPr>
        <w:tc>
          <w:tcPr>
            <w:tcW w:w="3173" w:type="dxa"/>
            <w:tcBorders>
              <w:top w:val="nil"/>
              <w:left w:val="single" w:sz="4" w:space="0" w:color="auto"/>
              <w:bottom w:val="single" w:sz="4" w:space="0" w:color="auto"/>
              <w:right w:val="single" w:sz="4" w:space="0" w:color="auto"/>
            </w:tcBorders>
            <w:noWrap/>
            <w:vAlign w:val="bottom"/>
          </w:tcPr>
          <w:p w:rsidR="00D94A81" w:rsidRPr="00065314" w:rsidRDefault="00D94A81" w:rsidP="00065314">
            <w:pPr>
              <w:spacing w:after="0"/>
              <w:rPr>
                <w:rFonts w:eastAsia="Times New Roman" w:cs="Times New Roman"/>
                <w:lang w:val="en-US" w:eastAsia="en-US"/>
              </w:rPr>
            </w:pPr>
            <w:r w:rsidRPr="00065314">
              <w:rPr>
                <w:rFonts w:eastAsia="Times New Roman" w:cs="Times New Roman"/>
                <w:sz w:val="22"/>
                <w:szCs w:val="22"/>
                <w:lang w:val="en-US" w:eastAsia="en-US"/>
              </w:rPr>
              <w:t>May 2015</w:t>
            </w:r>
          </w:p>
        </w:tc>
        <w:tc>
          <w:tcPr>
            <w:tcW w:w="2857" w:type="dxa"/>
            <w:tcBorders>
              <w:top w:val="nil"/>
              <w:left w:val="nil"/>
              <w:bottom w:val="single" w:sz="4" w:space="0" w:color="auto"/>
              <w:right w:val="single" w:sz="4" w:space="0" w:color="auto"/>
            </w:tcBorders>
            <w:noWrap/>
            <w:vAlign w:val="bottom"/>
          </w:tcPr>
          <w:p w:rsidR="00D94A81" w:rsidRPr="00065314" w:rsidRDefault="00D94A81" w:rsidP="00065314">
            <w:pPr>
              <w:spacing w:after="0"/>
              <w:jc w:val="center"/>
              <w:rPr>
                <w:rFonts w:eastAsia="Times New Roman" w:cs="Times New Roman"/>
                <w:lang w:val="en-US" w:eastAsia="en-US"/>
              </w:rPr>
            </w:pPr>
            <w:r w:rsidRPr="00065314">
              <w:rPr>
                <w:rFonts w:eastAsia="Times New Roman" w:cs="Times New Roman"/>
                <w:sz w:val="22"/>
                <w:szCs w:val="22"/>
                <w:lang w:val="en-US" w:eastAsia="en-US"/>
              </w:rPr>
              <w:t xml:space="preserve">200,000 </w:t>
            </w:r>
          </w:p>
        </w:tc>
      </w:tr>
    </w:tbl>
    <w:p w:rsidR="00D94A81" w:rsidRDefault="00D94A81" w:rsidP="00065314">
      <w:pPr>
        <w:pStyle w:val="ListParagraph"/>
        <w:spacing w:after="0"/>
        <w:rPr>
          <w:rFonts w:cs="Times New Roman"/>
        </w:rPr>
      </w:pPr>
    </w:p>
    <w:p w:rsidR="00D94A81" w:rsidRDefault="00D94A81" w:rsidP="00EC0C7C">
      <w:pPr>
        <w:pStyle w:val="ListParagraph"/>
        <w:numPr>
          <w:ilvl w:val="0"/>
          <w:numId w:val="16"/>
        </w:numPr>
        <w:spacing w:after="0"/>
        <w:ind w:left="720"/>
      </w:pPr>
      <w:r>
        <w:t xml:space="preserve">The ICR in effect </w:t>
      </w:r>
      <w:r w:rsidR="00A62DD2">
        <w:t>during</w:t>
      </w:r>
      <w:r>
        <w:t xml:space="preserve"> the delivery period for the one-year product and for the stub product are the values shown in the schedule above.   For example, the ICR for the one-year product at the beginning of the supply period (June </w:t>
      </w:r>
      <w:r w:rsidR="00A62DD2">
        <w:t>1, 2014) is $6</w:t>
      </w:r>
      <w:r>
        <w:t>00,000.</w:t>
      </w:r>
    </w:p>
    <w:p w:rsidR="00D94A81" w:rsidRDefault="00D94A81" w:rsidP="00EC0C7C">
      <w:pPr>
        <w:pStyle w:val="ListParagraph"/>
        <w:numPr>
          <w:ilvl w:val="0"/>
          <w:numId w:val="16"/>
        </w:numPr>
        <w:spacing w:after="0"/>
        <w:ind w:left="720"/>
      </w:pPr>
      <w:r>
        <w:lastRenderedPageBreak/>
        <w:t xml:space="preserve">Suppliers or their guarantors will be considered for an unsecured credit line for the ICR.  The amount of the unsecured credit line is determined on the basis of the entity’s tangible net worth (“TNW”) and credit ratings and is also subject to a cap for lower credit ratings.  AEP Ohio proposes using the determination of the Duke Master SSO Supply Agreement, as follows:  </w:t>
      </w:r>
    </w:p>
    <w:p w:rsidR="00D94A81" w:rsidRDefault="00D94A81" w:rsidP="0047322B">
      <w:pPr>
        <w:pStyle w:val="ListParagraph"/>
        <w:spacing w:after="0"/>
        <w:rPr>
          <w:rFonts w:cs="Times New Roman"/>
        </w:rPr>
      </w:pPr>
    </w:p>
    <w:p w:rsidR="00D94A81" w:rsidRPr="0047322B" w:rsidRDefault="00D94A81" w:rsidP="0047322B">
      <w:pPr>
        <w:pStyle w:val="Caption"/>
        <w:rPr>
          <w:rFonts w:cs="Times New Roman"/>
          <w:b w:val="0"/>
          <w:bCs w:val="0"/>
        </w:rPr>
      </w:pPr>
      <w:r w:rsidRPr="0047322B">
        <w:rPr>
          <w:sz w:val="22"/>
          <w:szCs w:val="22"/>
        </w:rPr>
        <w:t xml:space="preserve">Table </w:t>
      </w:r>
      <w:r w:rsidRPr="0047322B">
        <w:rPr>
          <w:sz w:val="22"/>
          <w:szCs w:val="22"/>
        </w:rPr>
        <w:fldChar w:fldCharType="begin"/>
      </w:r>
      <w:r w:rsidRPr="0047322B">
        <w:rPr>
          <w:sz w:val="22"/>
          <w:szCs w:val="22"/>
        </w:rPr>
        <w:instrText xml:space="preserve"> SEQ Table \* ARABIC </w:instrText>
      </w:r>
      <w:r w:rsidRPr="0047322B">
        <w:rPr>
          <w:sz w:val="22"/>
          <w:szCs w:val="22"/>
        </w:rPr>
        <w:fldChar w:fldCharType="separate"/>
      </w:r>
      <w:r w:rsidR="00F158D8">
        <w:rPr>
          <w:noProof/>
          <w:sz w:val="22"/>
          <w:szCs w:val="22"/>
        </w:rPr>
        <w:t>2</w:t>
      </w:r>
      <w:r w:rsidRPr="0047322B">
        <w:rPr>
          <w:sz w:val="22"/>
          <w:szCs w:val="22"/>
        </w:rPr>
        <w:fldChar w:fldCharType="end"/>
      </w:r>
      <w:r w:rsidRPr="0047322B">
        <w:rPr>
          <w:sz w:val="22"/>
          <w:szCs w:val="22"/>
        </w:rPr>
        <w:t>.  U</w:t>
      </w:r>
      <w:r>
        <w:rPr>
          <w:sz w:val="22"/>
          <w:szCs w:val="22"/>
        </w:rPr>
        <w:t>nsecured Credit Line Determination</w:t>
      </w:r>
      <w:r w:rsidRPr="0047322B">
        <w:rPr>
          <w:sz w:val="22"/>
          <w:szCs w:val="22"/>
        </w:rPr>
        <w:t xml:space="preserve"> for ICR.</w:t>
      </w:r>
    </w:p>
    <w:tbl>
      <w:tblPr>
        <w:tblW w:w="9060" w:type="dxa"/>
        <w:tblInd w:w="93" w:type="dxa"/>
        <w:tblLayout w:type="fixed"/>
        <w:tblLook w:val="00A0" w:firstRow="1" w:lastRow="0" w:firstColumn="1" w:lastColumn="0" w:noHBand="0" w:noVBand="0"/>
      </w:tblPr>
      <w:tblGrid>
        <w:gridCol w:w="1745"/>
        <w:gridCol w:w="1745"/>
        <w:gridCol w:w="1745"/>
        <w:gridCol w:w="2070"/>
        <w:gridCol w:w="1755"/>
      </w:tblGrid>
      <w:tr w:rsidR="00D94A81" w:rsidRPr="0047322B">
        <w:trPr>
          <w:trHeight w:val="900"/>
        </w:trPr>
        <w:tc>
          <w:tcPr>
            <w:tcW w:w="5235" w:type="dxa"/>
            <w:gridSpan w:val="3"/>
            <w:tcBorders>
              <w:top w:val="single" w:sz="4" w:space="0" w:color="auto"/>
              <w:left w:val="single" w:sz="4" w:space="0" w:color="auto"/>
              <w:bottom w:val="single" w:sz="4" w:space="0" w:color="auto"/>
              <w:right w:val="single" w:sz="4" w:space="0" w:color="auto"/>
            </w:tcBorders>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Credit Rating of the SSO Supplier or its Guarantor</w:t>
            </w:r>
          </w:p>
        </w:tc>
        <w:tc>
          <w:tcPr>
            <w:tcW w:w="3825" w:type="dxa"/>
            <w:gridSpan w:val="2"/>
            <w:tcBorders>
              <w:top w:val="single" w:sz="4" w:space="0" w:color="auto"/>
              <w:left w:val="nil"/>
              <w:bottom w:val="single" w:sz="4" w:space="0" w:color="auto"/>
              <w:right w:val="single" w:sz="4" w:space="0" w:color="auto"/>
            </w:tcBorders>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Maximum Independent Credit Threshold (calculated as the lesser of the percentage of TNW and the applicable Credit Limit Cap below)</w:t>
            </w:r>
          </w:p>
        </w:tc>
      </w:tr>
      <w:tr w:rsidR="00D94A81" w:rsidRPr="0047322B">
        <w:trPr>
          <w:trHeight w:val="300"/>
        </w:trPr>
        <w:tc>
          <w:tcPr>
            <w:tcW w:w="1745" w:type="dxa"/>
            <w:tcBorders>
              <w:top w:val="nil"/>
              <w:left w:val="single" w:sz="4" w:space="0" w:color="auto"/>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S&amp;P</w:t>
            </w:r>
          </w:p>
        </w:tc>
        <w:tc>
          <w:tcPr>
            <w:tcW w:w="1745" w:type="dxa"/>
            <w:tcBorders>
              <w:top w:val="nil"/>
              <w:left w:val="nil"/>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Moody's</w:t>
            </w:r>
          </w:p>
        </w:tc>
        <w:tc>
          <w:tcPr>
            <w:tcW w:w="1745" w:type="dxa"/>
            <w:tcBorders>
              <w:top w:val="nil"/>
              <w:left w:val="nil"/>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Fitch</w:t>
            </w:r>
          </w:p>
        </w:tc>
        <w:tc>
          <w:tcPr>
            <w:tcW w:w="2070" w:type="dxa"/>
            <w:tcBorders>
              <w:top w:val="nil"/>
              <w:left w:val="nil"/>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Percentage of TNW</w:t>
            </w:r>
          </w:p>
        </w:tc>
        <w:tc>
          <w:tcPr>
            <w:tcW w:w="1755" w:type="dxa"/>
            <w:tcBorders>
              <w:top w:val="nil"/>
              <w:left w:val="nil"/>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Credit Limit Cap</w:t>
            </w:r>
          </w:p>
        </w:tc>
      </w:tr>
      <w:tr w:rsidR="00D94A81" w:rsidRPr="0047322B">
        <w:trPr>
          <w:trHeight w:val="300"/>
        </w:trPr>
        <w:tc>
          <w:tcPr>
            <w:tcW w:w="174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A- and above</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A3 and above</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A- and above</w:t>
            </w:r>
          </w:p>
        </w:tc>
        <w:tc>
          <w:tcPr>
            <w:tcW w:w="2070"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16%</w:t>
            </w:r>
          </w:p>
        </w:tc>
        <w:tc>
          <w:tcPr>
            <w:tcW w:w="1755"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Not applicable</w:t>
            </w:r>
          </w:p>
        </w:tc>
      </w:tr>
      <w:tr w:rsidR="00D94A81" w:rsidRPr="0047322B">
        <w:trPr>
          <w:trHeight w:val="300"/>
        </w:trPr>
        <w:tc>
          <w:tcPr>
            <w:tcW w:w="174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Baa1</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2070"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10%</w:t>
            </w:r>
          </w:p>
        </w:tc>
        <w:tc>
          <w:tcPr>
            <w:tcW w:w="1755"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Not applicable</w:t>
            </w:r>
          </w:p>
        </w:tc>
      </w:tr>
      <w:tr w:rsidR="00D94A81" w:rsidRPr="0047322B">
        <w:trPr>
          <w:trHeight w:val="300"/>
        </w:trPr>
        <w:tc>
          <w:tcPr>
            <w:tcW w:w="174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Baa2</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2070"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10%</w:t>
            </w:r>
          </w:p>
        </w:tc>
        <w:tc>
          <w:tcPr>
            <w:tcW w:w="1755"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Not applicable</w:t>
            </w:r>
          </w:p>
        </w:tc>
      </w:tr>
      <w:tr w:rsidR="00D94A81" w:rsidRPr="0047322B">
        <w:trPr>
          <w:trHeight w:val="300"/>
        </w:trPr>
        <w:tc>
          <w:tcPr>
            <w:tcW w:w="174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Baa3</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2070"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8%</w:t>
            </w:r>
          </w:p>
        </w:tc>
        <w:tc>
          <w:tcPr>
            <w:tcW w:w="1755"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Not applicable</w:t>
            </w:r>
          </w:p>
        </w:tc>
      </w:tr>
      <w:tr w:rsidR="00D94A81" w:rsidRPr="0047322B">
        <w:trPr>
          <w:trHeight w:val="300"/>
        </w:trPr>
        <w:tc>
          <w:tcPr>
            <w:tcW w:w="174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Ba1</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w:t>
            </w:r>
          </w:p>
        </w:tc>
        <w:tc>
          <w:tcPr>
            <w:tcW w:w="2070"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2%</w:t>
            </w:r>
          </w:p>
        </w:tc>
        <w:tc>
          <w:tcPr>
            <w:tcW w:w="1755"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$3,000,000</w:t>
            </w:r>
          </w:p>
        </w:tc>
      </w:tr>
      <w:tr w:rsidR="00D94A81" w:rsidRPr="0047322B">
        <w:trPr>
          <w:trHeight w:val="300"/>
        </w:trPr>
        <w:tc>
          <w:tcPr>
            <w:tcW w:w="174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Ba2</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w:t>
            </w:r>
          </w:p>
        </w:tc>
        <w:tc>
          <w:tcPr>
            <w:tcW w:w="2070"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w:t>
            </w:r>
          </w:p>
        </w:tc>
        <w:tc>
          <w:tcPr>
            <w:tcW w:w="1755"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$1,500,000</w:t>
            </w:r>
          </w:p>
        </w:tc>
      </w:tr>
      <w:tr w:rsidR="00D94A81" w:rsidRPr="0047322B">
        <w:trPr>
          <w:trHeight w:val="300"/>
        </w:trPr>
        <w:tc>
          <w:tcPr>
            <w:tcW w:w="174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 and below</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Ba3 and below</w:t>
            </w:r>
          </w:p>
        </w:tc>
        <w:tc>
          <w:tcPr>
            <w:tcW w:w="1745"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 and below</w:t>
            </w:r>
          </w:p>
        </w:tc>
        <w:tc>
          <w:tcPr>
            <w:tcW w:w="2070"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0%</w:t>
            </w:r>
          </w:p>
        </w:tc>
        <w:tc>
          <w:tcPr>
            <w:tcW w:w="1755" w:type="dxa"/>
            <w:tcBorders>
              <w:top w:val="nil"/>
              <w:left w:val="nil"/>
              <w:bottom w:val="single" w:sz="4" w:space="0" w:color="auto"/>
              <w:right w:val="single" w:sz="4" w:space="0" w:color="auto"/>
            </w:tcBorders>
            <w:noWrap/>
            <w:vAlign w:val="center"/>
          </w:tcPr>
          <w:p w:rsidR="00D94A81" w:rsidRPr="0047322B" w:rsidRDefault="00D94A81" w:rsidP="0047322B">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$0</w:t>
            </w:r>
          </w:p>
        </w:tc>
      </w:tr>
    </w:tbl>
    <w:p w:rsidR="00D94A81" w:rsidRDefault="00D94A81" w:rsidP="00065314">
      <w:pPr>
        <w:pStyle w:val="ListParagraph"/>
        <w:spacing w:after="0"/>
        <w:rPr>
          <w:rFonts w:cs="Times New Roman"/>
        </w:rPr>
      </w:pPr>
    </w:p>
    <w:p w:rsidR="00D94A81" w:rsidRPr="0047322B" w:rsidRDefault="00D94A81" w:rsidP="00EC0C7C">
      <w:pPr>
        <w:pStyle w:val="ListParagraph"/>
        <w:numPr>
          <w:ilvl w:val="0"/>
          <w:numId w:val="16"/>
        </w:numPr>
        <w:spacing w:after="0"/>
        <w:ind w:left="720"/>
        <w:rPr>
          <w:rFonts w:cs="Times New Roman"/>
        </w:rPr>
      </w:pPr>
      <w:r>
        <w:t>Suppliers or their guarantors will be considered for an unsecured credit line for the MTM exposure.  The amount of the unsecured credit line is determined on the basis of the entity’s tangible net worth (“TNW”) and credit ratings and is also subject to a cap.  AEP proposes the following adjustments to the amounts used in the Duke Master SSO Supply Agreement.</w:t>
      </w:r>
    </w:p>
    <w:p w:rsidR="00D94A81" w:rsidRDefault="00D94A81" w:rsidP="0047322B">
      <w:pPr>
        <w:pStyle w:val="ListParagraph"/>
        <w:spacing w:after="0"/>
        <w:rPr>
          <w:rFonts w:cs="Times New Roman"/>
        </w:rPr>
      </w:pPr>
    </w:p>
    <w:p w:rsidR="00D94A81" w:rsidRPr="0047322B" w:rsidRDefault="00D94A81" w:rsidP="0047322B">
      <w:pPr>
        <w:pStyle w:val="Caption"/>
        <w:rPr>
          <w:sz w:val="22"/>
          <w:szCs w:val="22"/>
        </w:rPr>
      </w:pPr>
      <w:r w:rsidRPr="0047322B">
        <w:rPr>
          <w:sz w:val="22"/>
          <w:szCs w:val="22"/>
        </w:rPr>
        <w:t xml:space="preserve">Table </w:t>
      </w:r>
      <w:r w:rsidRPr="0047322B">
        <w:rPr>
          <w:sz w:val="22"/>
          <w:szCs w:val="22"/>
        </w:rPr>
        <w:fldChar w:fldCharType="begin"/>
      </w:r>
      <w:r w:rsidRPr="0047322B">
        <w:rPr>
          <w:sz w:val="22"/>
          <w:szCs w:val="22"/>
        </w:rPr>
        <w:instrText xml:space="preserve"> SEQ Table \* ARABIC </w:instrText>
      </w:r>
      <w:r w:rsidRPr="0047322B">
        <w:rPr>
          <w:sz w:val="22"/>
          <w:szCs w:val="22"/>
        </w:rPr>
        <w:fldChar w:fldCharType="separate"/>
      </w:r>
      <w:r w:rsidR="00F158D8">
        <w:rPr>
          <w:noProof/>
          <w:sz w:val="22"/>
          <w:szCs w:val="22"/>
        </w:rPr>
        <w:t>3</w:t>
      </w:r>
      <w:r w:rsidRPr="0047322B">
        <w:rPr>
          <w:sz w:val="22"/>
          <w:szCs w:val="22"/>
        </w:rPr>
        <w:fldChar w:fldCharType="end"/>
      </w:r>
      <w:r w:rsidRPr="0047322B">
        <w:rPr>
          <w:sz w:val="22"/>
          <w:szCs w:val="22"/>
        </w:rPr>
        <w:t>.  Unsecured Credit Line Determination for MTM.</w:t>
      </w:r>
    </w:p>
    <w:tbl>
      <w:tblPr>
        <w:tblW w:w="9060" w:type="dxa"/>
        <w:tblInd w:w="93" w:type="dxa"/>
        <w:tblLook w:val="00A0" w:firstRow="1" w:lastRow="0" w:firstColumn="1" w:lastColumn="0" w:noHBand="0" w:noVBand="0"/>
      </w:tblPr>
      <w:tblGrid>
        <w:gridCol w:w="1725"/>
        <w:gridCol w:w="1800"/>
        <w:gridCol w:w="1710"/>
        <w:gridCol w:w="2070"/>
        <w:gridCol w:w="1755"/>
      </w:tblGrid>
      <w:tr w:rsidR="00D94A81" w:rsidRPr="0047322B">
        <w:trPr>
          <w:trHeight w:val="900"/>
        </w:trPr>
        <w:tc>
          <w:tcPr>
            <w:tcW w:w="5235" w:type="dxa"/>
            <w:gridSpan w:val="3"/>
            <w:tcBorders>
              <w:top w:val="single" w:sz="4" w:space="0" w:color="auto"/>
              <w:left w:val="single" w:sz="4" w:space="0" w:color="auto"/>
              <w:bottom w:val="single" w:sz="4" w:space="0" w:color="auto"/>
              <w:right w:val="single" w:sz="4" w:space="0" w:color="auto"/>
            </w:tcBorders>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Credit Rating of the SSO Supplier or its Guarantor</w:t>
            </w:r>
          </w:p>
        </w:tc>
        <w:tc>
          <w:tcPr>
            <w:tcW w:w="3825" w:type="dxa"/>
            <w:gridSpan w:val="2"/>
            <w:tcBorders>
              <w:top w:val="single" w:sz="4" w:space="0" w:color="auto"/>
              <w:left w:val="nil"/>
              <w:bottom w:val="single" w:sz="4" w:space="0" w:color="auto"/>
              <w:right w:val="single" w:sz="4" w:space="0" w:color="auto"/>
            </w:tcBorders>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Maximum Credit Limit (calculated as the lesser of the percentage of TNW and the applicable Credit Limit Cap below)</w:t>
            </w:r>
          </w:p>
        </w:tc>
      </w:tr>
      <w:tr w:rsidR="00D94A81" w:rsidRPr="0047322B">
        <w:trPr>
          <w:trHeight w:val="300"/>
        </w:trPr>
        <w:tc>
          <w:tcPr>
            <w:tcW w:w="1725" w:type="dxa"/>
            <w:tcBorders>
              <w:top w:val="nil"/>
              <w:left w:val="single" w:sz="4" w:space="0" w:color="auto"/>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S&amp;P</w:t>
            </w:r>
          </w:p>
        </w:tc>
        <w:tc>
          <w:tcPr>
            <w:tcW w:w="1800" w:type="dxa"/>
            <w:tcBorders>
              <w:top w:val="nil"/>
              <w:left w:val="nil"/>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Moody's</w:t>
            </w:r>
          </w:p>
        </w:tc>
        <w:tc>
          <w:tcPr>
            <w:tcW w:w="1710" w:type="dxa"/>
            <w:tcBorders>
              <w:top w:val="nil"/>
              <w:left w:val="nil"/>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Fitch</w:t>
            </w:r>
          </w:p>
        </w:tc>
        <w:tc>
          <w:tcPr>
            <w:tcW w:w="2070" w:type="dxa"/>
            <w:tcBorders>
              <w:top w:val="nil"/>
              <w:left w:val="nil"/>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Percentage of TNW</w:t>
            </w:r>
          </w:p>
        </w:tc>
        <w:tc>
          <w:tcPr>
            <w:tcW w:w="1755" w:type="dxa"/>
            <w:tcBorders>
              <w:top w:val="nil"/>
              <w:left w:val="nil"/>
              <w:bottom w:val="single" w:sz="4" w:space="0" w:color="auto"/>
              <w:right w:val="single" w:sz="4" w:space="0" w:color="auto"/>
            </w:tcBorders>
            <w:shd w:val="clear" w:color="000000" w:fill="F2F2F2"/>
            <w:noWrap/>
            <w:vAlign w:val="center"/>
          </w:tcPr>
          <w:p w:rsidR="00D94A81" w:rsidRPr="0047322B" w:rsidRDefault="00D94A81" w:rsidP="0047322B">
            <w:pPr>
              <w:spacing w:after="0"/>
              <w:jc w:val="center"/>
              <w:rPr>
                <w:rFonts w:eastAsia="Times New Roman" w:cs="Times New Roman"/>
                <w:b/>
                <w:bCs/>
                <w:color w:val="000000"/>
                <w:lang w:val="en-US" w:eastAsia="en-US"/>
              </w:rPr>
            </w:pPr>
            <w:r w:rsidRPr="0047322B">
              <w:rPr>
                <w:rFonts w:eastAsia="Times New Roman" w:cs="Times New Roman"/>
                <w:b/>
                <w:bCs/>
                <w:color w:val="000000"/>
                <w:sz w:val="22"/>
                <w:szCs w:val="22"/>
                <w:lang w:val="en-US" w:eastAsia="en-US"/>
              </w:rPr>
              <w:t>Credit Limit Cap</w:t>
            </w:r>
          </w:p>
        </w:tc>
      </w:tr>
      <w:tr w:rsidR="00D94A81" w:rsidRPr="0047322B">
        <w:trPr>
          <w:trHeight w:val="300"/>
        </w:trPr>
        <w:tc>
          <w:tcPr>
            <w:tcW w:w="172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A- and above</w:t>
            </w:r>
          </w:p>
        </w:tc>
        <w:tc>
          <w:tcPr>
            <w:tcW w:w="180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A3 and above</w:t>
            </w:r>
          </w:p>
        </w:tc>
        <w:tc>
          <w:tcPr>
            <w:tcW w:w="171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A- and above</w:t>
            </w:r>
          </w:p>
        </w:tc>
        <w:tc>
          <w:tcPr>
            <w:tcW w:w="2070"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16%</w:t>
            </w:r>
          </w:p>
        </w:tc>
        <w:tc>
          <w:tcPr>
            <w:tcW w:w="1755"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$75,000,000</w:t>
            </w:r>
          </w:p>
        </w:tc>
      </w:tr>
      <w:tr w:rsidR="00D94A81" w:rsidRPr="0047322B">
        <w:trPr>
          <w:trHeight w:val="300"/>
        </w:trPr>
        <w:tc>
          <w:tcPr>
            <w:tcW w:w="172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180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Baa1</w:t>
            </w:r>
          </w:p>
        </w:tc>
        <w:tc>
          <w:tcPr>
            <w:tcW w:w="171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2070"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10%</w:t>
            </w:r>
          </w:p>
        </w:tc>
        <w:tc>
          <w:tcPr>
            <w:tcW w:w="1755"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$50,000,000</w:t>
            </w:r>
          </w:p>
        </w:tc>
      </w:tr>
      <w:tr w:rsidR="00D94A81" w:rsidRPr="0047322B">
        <w:trPr>
          <w:trHeight w:val="300"/>
        </w:trPr>
        <w:tc>
          <w:tcPr>
            <w:tcW w:w="172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180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Baa2</w:t>
            </w:r>
          </w:p>
        </w:tc>
        <w:tc>
          <w:tcPr>
            <w:tcW w:w="171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2070"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10%</w:t>
            </w:r>
          </w:p>
        </w:tc>
        <w:tc>
          <w:tcPr>
            <w:tcW w:w="1755"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$40,000,000</w:t>
            </w:r>
          </w:p>
        </w:tc>
      </w:tr>
      <w:tr w:rsidR="00D94A81" w:rsidRPr="0047322B">
        <w:trPr>
          <w:trHeight w:val="300"/>
        </w:trPr>
        <w:tc>
          <w:tcPr>
            <w:tcW w:w="172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180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Baa3</w:t>
            </w:r>
          </w:p>
        </w:tc>
        <w:tc>
          <w:tcPr>
            <w:tcW w:w="171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BBB-</w:t>
            </w:r>
          </w:p>
        </w:tc>
        <w:tc>
          <w:tcPr>
            <w:tcW w:w="2070"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8%</w:t>
            </w:r>
          </w:p>
        </w:tc>
        <w:tc>
          <w:tcPr>
            <w:tcW w:w="1755"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$30,000,000</w:t>
            </w:r>
          </w:p>
        </w:tc>
      </w:tr>
      <w:tr w:rsidR="00D94A81" w:rsidRPr="0047322B">
        <w:trPr>
          <w:trHeight w:val="300"/>
        </w:trPr>
        <w:tc>
          <w:tcPr>
            <w:tcW w:w="172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w:t>
            </w:r>
          </w:p>
        </w:tc>
        <w:tc>
          <w:tcPr>
            <w:tcW w:w="180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Ba1</w:t>
            </w:r>
          </w:p>
        </w:tc>
        <w:tc>
          <w:tcPr>
            <w:tcW w:w="171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w:t>
            </w:r>
          </w:p>
        </w:tc>
        <w:tc>
          <w:tcPr>
            <w:tcW w:w="2070"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2%</w:t>
            </w:r>
          </w:p>
        </w:tc>
        <w:tc>
          <w:tcPr>
            <w:tcW w:w="1755"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$10,000,000</w:t>
            </w:r>
          </w:p>
        </w:tc>
      </w:tr>
      <w:tr w:rsidR="00D94A81" w:rsidRPr="0047322B">
        <w:trPr>
          <w:trHeight w:val="300"/>
        </w:trPr>
        <w:tc>
          <w:tcPr>
            <w:tcW w:w="172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w:t>
            </w:r>
          </w:p>
        </w:tc>
        <w:tc>
          <w:tcPr>
            <w:tcW w:w="180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Ba2</w:t>
            </w:r>
          </w:p>
        </w:tc>
        <w:tc>
          <w:tcPr>
            <w:tcW w:w="171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w:t>
            </w:r>
          </w:p>
        </w:tc>
        <w:tc>
          <w:tcPr>
            <w:tcW w:w="2070"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1%</w:t>
            </w:r>
          </w:p>
        </w:tc>
        <w:tc>
          <w:tcPr>
            <w:tcW w:w="1755"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$5,000,000</w:t>
            </w:r>
          </w:p>
        </w:tc>
      </w:tr>
      <w:tr w:rsidR="00D94A81" w:rsidRPr="0047322B">
        <w:trPr>
          <w:trHeight w:val="300"/>
        </w:trPr>
        <w:tc>
          <w:tcPr>
            <w:tcW w:w="1725" w:type="dxa"/>
            <w:tcBorders>
              <w:top w:val="nil"/>
              <w:left w:val="single" w:sz="4" w:space="0" w:color="auto"/>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 and below</w:t>
            </w:r>
          </w:p>
        </w:tc>
        <w:tc>
          <w:tcPr>
            <w:tcW w:w="180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Ba3 and below</w:t>
            </w:r>
          </w:p>
        </w:tc>
        <w:tc>
          <w:tcPr>
            <w:tcW w:w="1710" w:type="dxa"/>
            <w:tcBorders>
              <w:top w:val="nil"/>
              <w:left w:val="nil"/>
              <w:bottom w:val="single" w:sz="4" w:space="0" w:color="auto"/>
              <w:right w:val="single" w:sz="4" w:space="0" w:color="auto"/>
            </w:tcBorders>
            <w:noWrap/>
            <w:vAlign w:val="center"/>
          </w:tcPr>
          <w:p w:rsidR="00D94A81" w:rsidRPr="0047322B" w:rsidRDefault="00D94A81" w:rsidP="0047322B">
            <w:pPr>
              <w:spacing w:after="0"/>
              <w:rPr>
                <w:rFonts w:eastAsia="Times New Roman" w:cs="Times New Roman"/>
                <w:color w:val="000000"/>
                <w:lang w:val="en-US" w:eastAsia="en-US"/>
              </w:rPr>
            </w:pPr>
            <w:r w:rsidRPr="0047322B">
              <w:rPr>
                <w:rFonts w:eastAsia="Times New Roman" w:cs="Times New Roman"/>
                <w:color w:val="000000"/>
                <w:sz w:val="22"/>
                <w:szCs w:val="22"/>
                <w:lang w:val="en-US" w:eastAsia="en-US"/>
              </w:rPr>
              <w:t>BB- and below</w:t>
            </w:r>
          </w:p>
        </w:tc>
        <w:tc>
          <w:tcPr>
            <w:tcW w:w="2070"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0%</w:t>
            </w:r>
          </w:p>
        </w:tc>
        <w:tc>
          <w:tcPr>
            <w:tcW w:w="1755" w:type="dxa"/>
            <w:tcBorders>
              <w:top w:val="nil"/>
              <w:left w:val="nil"/>
              <w:bottom w:val="single" w:sz="4" w:space="0" w:color="auto"/>
              <w:right w:val="single" w:sz="4" w:space="0" w:color="auto"/>
            </w:tcBorders>
            <w:noWrap/>
            <w:vAlign w:val="center"/>
          </w:tcPr>
          <w:p w:rsidR="00D94A81" w:rsidRPr="0047322B" w:rsidRDefault="00D94A81" w:rsidP="00A62DD2">
            <w:pPr>
              <w:spacing w:after="0"/>
              <w:jc w:val="center"/>
              <w:rPr>
                <w:rFonts w:eastAsia="Times New Roman" w:cs="Times New Roman"/>
                <w:color w:val="000000"/>
                <w:lang w:val="en-US" w:eastAsia="en-US"/>
              </w:rPr>
            </w:pPr>
            <w:r w:rsidRPr="0047322B">
              <w:rPr>
                <w:rFonts w:eastAsia="Times New Roman" w:cs="Times New Roman"/>
                <w:color w:val="000000"/>
                <w:sz w:val="22"/>
                <w:szCs w:val="22"/>
                <w:lang w:val="en-US" w:eastAsia="en-US"/>
              </w:rPr>
              <w:t>$0</w:t>
            </w:r>
          </w:p>
        </w:tc>
      </w:tr>
    </w:tbl>
    <w:p w:rsidR="00D94A81" w:rsidRDefault="00D94A81" w:rsidP="00F4383B">
      <w:pPr>
        <w:pStyle w:val="ListParagraph"/>
        <w:spacing w:after="0"/>
        <w:rPr>
          <w:rFonts w:cs="Times New Roman"/>
        </w:rPr>
      </w:pPr>
    </w:p>
    <w:p w:rsidR="00D94A81" w:rsidRPr="00DB4176" w:rsidRDefault="00D94A81" w:rsidP="00EC0C7C">
      <w:pPr>
        <w:pStyle w:val="ListParagraph"/>
        <w:numPr>
          <w:ilvl w:val="0"/>
          <w:numId w:val="16"/>
        </w:numPr>
        <w:spacing w:after="0"/>
        <w:ind w:left="720"/>
        <w:rPr>
          <w:rFonts w:cs="Times New Roman"/>
        </w:rPr>
      </w:pPr>
      <w:r>
        <w:t xml:space="preserve">A supplier that has multiple Master SSO Supply Agreements in force at a given point in time will have each of its exposures (for ICR and for MTM) aggregated across all Master </w:t>
      </w:r>
      <w:r>
        <w:lastRenderedPageBreak/>
        <w:t xml:space="preserve">SSO Supply Agreements.  The amount of any unsecured credit line granted to a supplier does not change depending on whether the supplier has one or multiple Master SSO Supply Agreements. </w:t>
      </w:r>
    </w:p>
    <w:p w:rsidR="00D94A81" w:rsidRDefault="00D94A81" w:rsidP="00EC0C7C">
      <w:pPr>
        <w:pStyle w:val="ListParagraph"/>
        <w:numPr>
          <w:ilvl w:val="0"/>
          <w:numId w:val="16"/>
        </w:numPr>
        <w:spacing w:after="0"/>
        <w:ind w:left="720"/>
        <w:rPr>
          <w:rFonts w:cs="Times New Roman"/>
        </w:rPr>
      </w:pPr>
      <w:r>
        <w:t>Affiliates or their guarantor will be assigned a single amount to be shared amongst them for each unsecured credit line</w:t>
      </w:r>
      <w:r w:rsidRPr="001B5A88">
        <w:t xml:space="preserve"> </w:t>
      </w:r>
      <w:r>
        <w:t xml:space="preserve">(i.e., for purposes of the ICR and for purposes of the MTM exposure). </w:t>
      </w:r>
    </w:p>
    <w:p w:rsidR="00D94A81" w:rsidRDefault="00D94A81" w:rsidP="00EC0C7C">
      <w:pPr>
        <w:pStyle w:val="ListParagraph"/>
        <w:numPr>
          <w:ilvl w:val="0"/>
          <w:numId w:val="16"/>
        </w:numPr>
        <w:spacing w:after="0"/>
        <w:ind w:left="720"/>
      </w:pPr>
      <w:r>
        <w:t xml:space="preserve">The MTM methodology will specify that forward price quotes will be AD Hub prices.  These forward price quotes will be validated against data from brokers.  Where quotes are not available for a month, quotes for longer periods encompassing the month will be shaped. </w:t>
      </w:r>
    </w:p>
    <w:p w:rsidR="00D94A81" w:rsidRDefault="00D94A81" w:rsidP="00EC0C7C">
      <w:pPr>
        <w:pStyle w:val="ListParagraph"/>
        <w:numPr>
          <w:ilvl w:val="0"/>
          <w:numId w:val="16"/>
        </w:numPr>
        <w:spacing w:after="0"/>
        <w:ind w:left="720"/>
      </w:pPr>
      <w:r>
        <w:t>The exposure calculation method will generally be similar to Duke’s except that, in accord with AEP Ohio practices, volumes per tranche will be for 5 x 16, 5 x 8, and 2 x 24 periods each month (as opposed to on-peak and off-peak periods).  Volume adjustments related to customer switching will be made monthly with exceptions for major changes.</w:t>
      </w:r>
    </w:p>
    <w:p w:rsidR="00D94A81" w:rsidRDefault="00D94A81" w:rsidP="00EC0C7C">
      <w:pPr>
        <w:pStyle w:val="ListParagraph"/>
        <w:numPr>
          <w:ilvl w:val="0"/>
          <w:numId w:val="16"/>
        </w:numPr>
        <w:spacing w:after="0"/>
        <w:ind w:left="720"/>
      </w:pPr>
      <w:r>
        <w:t xml:space="preserve">There will be a standard form for the letter of credit and guaranty under the Master </w:t>
      </w:r>
      <w:r w:rsidR="00A62DD2">
        <w:t xml:space="preserve">SSO Supply </w:t>
      </w:r>
      <w:r>
        <w:t xml:space="preserve">Agreement.  Suppliers will have an opportunity to request modifications prior to applying to participate in the first auction under the CBP.  Modifications proposed by one supplier and accepted by AEP Ohio will be made available to all suppliers on an optional basis.  </w:t>
      </w:r>
    </w:p>
    <w:p w:rsidR="00D94A81" w:rsidRDefault="00D94A81" w:rsidP="005A0EE9">
      <w:pPr>
        <w:pStyle w:val="ListParagraph"/>
        <w:spacing w:after="0"/>
        <w:ind w:left="0"/>
        <w:rPr>
          <w:rFonts w:cs="Times New Roman"/>
          <w:b/>
          <w:bCs/>
        </w:rPr>
      </w:pPr>
    </w:p>
    <w:p w:rsidR="00D94A81" w:rsidRDefault="00D94A81" w:rsidP="005A0EE9">
      <w:pPr>
        <w:spacing w:after="200" w:line="276" w:lineRule="auto"/>
        <w:rPr>
          <w:rFonts w:cs="Times New Roman"/>
          <w:noProof/>
          <w:lang w:val="en-US" w:eastAsia="en-US"/>
        </w:rPr>
      </w:pPr>
    </w:p>
    <w:p w:rsidR="00D94A81" w:rsidRDefault="00D94A81" w:rsidP="005A0EE9">
      <w:pPr>
        <w:spacing w:after="200" w:line="276" w:lineRule="auto"/>
        <w:rPr>
          <w:rFonts w:cs="Times New Roman"/>
          <w:noProof/>
          <w:lang w:val="en-US" w:eastAsia="en-US"/>
        </w:rPr>
      </w:pPr>
    </w:p>
    <w:p w:rsidR="00D94A81" w:rsidRPr="005A0EE9" w:rsidRDefault="00D94A81" w:rsidP="00EC0C7C">
      <w:pPr>
        <w:pStyle w:val="ListParagraph"/>
        <w:numPr>
          <w:ilvl w:val="0"/>
          <w:numId w:val="14"/>
        </w:numPr>
        <w:spacing w:after="0"/>
      </w:pPr>
      <w:r>
        <w:rPr>
          <w:rFonts w:cs="Times New Roman"/>
          <w:b/>
          <w:bCs/>
        </w:rPr>
        <w:br w:type="page"/>
      </w:r>
      <w:r w:rsidRPr="005A0EE9">
        <w:rPr>
          <w:b/>
          <w:bCs/>
        </w:rPr>
        <w:lastRenderedPageBreak/>
        <w:t xml:space="preserve">Qualification Process.  </w:t>
      </w:r>
      <w:r w:rsidRPr="005A0EE9">
        <w:t xml:space="preserve">The qualification process will </w:t>
      </w:r>
      <w:r>
        <w:t>occur</w:t>
      </w:r>
      <w:r w:rsidRPr="005A0EE9">
        <w:t xml:space="preserve"> in two stages and </w:t>
      </w:r>
      <w:r>
        <w:t>generally be similar to</w:t>
      </w:r>
      <w:r w:rsidRPr="005A0EE9">
        <w:t xml:space="preserve"> the process established by Duke Energy Ohio and by the FirstEnergy Ohio Utilities with simplifications to the process to the extent possible. </w:t>
      </w:r>
    </w:p>
    <w:p w:rsidR="00D94A81" w:rsidRDefault="00D94A81" w:rsidP="00EC0C7C">
      <w:pPr>
        <w:pStyle w:val="ListParagraph"/>
        <w:numPr>
          <w:ilvl w:val="0"/>
          <w:numId w:val="18"/>
        </w:numPr>
        <w:spacing w:after="0"/>
        <w:ind w:left="720"/>
      </w:pPr>
      <w:r>
        <w:t xml:space="preserve">Suppliers will submit application forms either online or via email to the Auction Manager, with one hard copy to follow by overnight delivery service. </w:t>
      </w:r>
    </w:p>
    <w:p w:rsidR="00D94A81" w:rsidRDefault="00D94A81" w:rsidP="00EC0C7C">
      <w:pPr>
        <w:pStyle w:val="ListParagraph"/>
        <w:numPr>
          <w:ilvl w:val="0"/>
          <w:numId w:val="18"/>
        </w:numPr>
        <w:spacing w:after="0"/>
        <w:ind w:left="720"/>
      </w:pPr>
      <w:r>
        <w:t xml:space="preserve">In the first part of the application process, suppliers provide contact information, make certifications to agree to the process, and provide financial information.  </w:t>
      </w:r>
    </w:p>
    <w:p w:rsidR="00D94A81" w:rsidRDefault="00D94A81" w:rsidP="00EC0C7C">
      <w:pPr>
        <w:pStyle w:val="ListParagraph"/>
        <w:numPr>
          <w:ilvl w:val="0"/>
          <w:numId w:val="22"/>
        </w:numPr>
        <w:spacing w:after="0"/>
      </w:pPr>
      <w:r>
        <w:t>Suppliers will be required to be PJM members.</w:t>
      </w:r>
    </w:p>
    <w:p w:rsidR="00D94A81" w:rsidRDefault="00D94A81" w:rsidP="00EC0C7C">
      <w:pPr>
        <w:pStyle w:val="ListParagraph"/>
        <w:numPr>
          <w:ilvl w:val="0"/>
          <w:numId w:val="22"/>
        </w:numPr>
        <w:spacing w:after="0"/>
      </w:pPr>
      <w:r>
        <w:t>Communication between the Auction Manager and the supplier will typically be via email.</w:t>
      </w:r>
    </w:p>
    <w:p w:rsidR="00D94A81" w:rsidRDefault="00D94A81" w:rsidP="00EC0C7C">
      <w:pPr>
        <w:pStyle w:val="ListParagraph"/>
        <w:numPr>
          <w:ilvl w:val="0"/>
          <w:numId w:val="22"/>
        </w:numPr>
        <w:spacing w:after="0"/>
      </w:pPr>
      <w:r>
        <w:t xml:space="preserve">Suppliers nominate one individual as the main point of contact with the Auction Manager, but they may provide contact information for up to four individuals for purposes of the application process. </w:t>
      </w:r>
    </w:p>
    <w:p w:rsidR="00D94A81" w:rsidRDefault="00D94A81" w:rsidP="00EC0C7C">
      <w:pPr>
        <w:pStyle w:val="ListParagraph"/>
        <w:numPr>
          <w:ilvl w:val="0"/>
          <w:numId w:val="18"/>
        </w:numPr>
        <w:spacing w:after="0"/>
        <w:ind w:left="720"/>
      </w:pPr>
      <w:r>
        <w:t xml:space="preserve">In the second part of the application process, suppliers provide indicative offers, make certifications regarding associations and the handling of confidential information, and post pre-bid collateral. </w:t>
      </w:r>
    </w:p>
    <w:p w:rsidR="00D94A81" w:rsidRDefault="00D94A81" w:rsidP="00EC0C7C">
      <w:pPr>
        <w:pStyle w:val="ListParagraph"/>
        <w:numPr>
          <w:ilvl w:val="0"/>
          <w:numId w:val="23"/>
        </w:numPr>
        <w:spacing w:after="0"/>
      </w:pPr>
      <w:r>
        <w:t>The forms of the pre-bid letter of credit, letter of intent to provide a guaranty, and letter of reference will take as a base the forms in use by Duke Energy Ohio.</w:t>
      </w:r>
    </w:p>
    <w:p w:rsidR="00D94A81" w:rsidRDefault="00D94A81" w:rsidP="00EC0C7C">
      <w:pPr>
        <w:pStyle w:val="ListParagraph"/>
        <w:numPr>
          <w:ilvl w:val="0"/>
          <w:numId w:val="23"/>
        </w:numPr>
        <w:spacing w:after="0"/>
      </w:pPr>
      <w:r>
        <w:t xml:space="preserve">Pre-bid security of $500,000/tranche will be required for all suppliers.  For the first auction, this pre-bid security must be provided in the form of a pre-bid letter of credit.  (While cash will be accepted as security under the terms of the Master </w:t>
      </w:r>
      <w:r w:rsidR="00A62DD2">
        <w:t xml:space="preserve">SSO Supply </w:t>
      </w:r>
      <w:r>
        <w:t>Agreement, it will not be accepted as a form of pre-bid security in the first auction.  This will be revisited in the improvement workshops for the auctions held in 2014).  Suppliers will have the opportunity to comment on the form of the pre-bid letter of credit prior to qualification.</w:t>
      </w:r>
    </w:p>
    <w:p w:rsidR="00D94A81" w:rsidRDefault="00D94A81" w:rsidP="00EC0C7C">
      <w:pPr>
        <w:pStyle w:val="ListParagraph"/>
        <w:numPr>
          <w:ilvl w:val="0"/>
          <w:numId w:val="23"/>
        </w:numPr>
        <w:spacing w:after="0"/>
      </w:pPr>
      <w:r>
        <w:t>Suppliers may also be required to provide a letter of intent to provide a guaranty or a letter of reference, depending on a creditworthiness assessment, based on quarterly financial statements, at the Part 1 Application stage.  Each supplier will be notified of the results of the assessment and of the documents required for the Part 2 Application.</w:t>
      </w:r>
    </w:p>
    <w:p w:rsidR="00D94A81" w:rsidRPr="00181861" w:rsidRDefault="00D94A81" w:rsidP="00EC0C7C">
      <w:pPr>
        <w:pStyle w:val="ListParagraph"/>
        <w:numPr>
          <w:ilvl w:val="0"/>
          <w:numId w:val="23"/>
        </w:numPr>
        <w:spacing w:after="0"/>
        <w:rPr>
          <w:rFonts w:cs="Times New Roman"/>
        </w:rPr>
      </w:pPr>
      <w:r>
        <w:t>Credit-based caps will apply, as provided in the table below.  These limits also apply to affiliated suppliers bidding in the auction.</w:t>
      </w:r>
    </w:p>
    <w:p w:rsidR="00D94A81" w:rsidRDefault="00D94A81" w:rsidP="005A0EE9">
      <w:pPr>
        <w:spacing w:after="0"/>
        <w:rPr>
          <w:rFonts w:cs="Times New Roman"/>
        </w:rPr>
      </w:pPr>
    </w:p>
    <w:p w:rsidR="00D94A81" w:rsidRPr="00065314" w:rsidRDefault="00D94A81" w:rsidP="00181861">
      <w:pPr>
        <w:pStyle w:val="Caption"/>
        <w:rPr>
          <w:rFonts w:cs="Times New Roman"/>
          <w:sz w:val="22"/>
          <w:szCs w:val="22"/>
        </w:rPr>
      </w:pPr>
      <w:r w:rsidRPr="00065314">
        <w:rPr>
          <w:sz w:val="22"/>
          <w:szCs w:val="22"/>
        </w:rPr>
        <w:t xml:space="preserve">Table </w:t>
      </w:r>
      <w:r w:rsidRPr="00065314">
        <w:rPr>
          <w:sz w:val="22"/>
          <w:szCs w:val="22"/>
        </w:rPr>
        <w:fldChar w:fldCharType="begin"/>
      </w:r>
      <w:r w:rsidRPr="00065314">
        <w:rPr>
          <w:sz w:val="22"/>
          <w:szCs w:val="22"/>
        </w:rPr>
        <w:instrText xml:space="preserve"> SEQ Table \* ARABIC </w:instrText>
      </w:r>
      <w:r w:rsidRPr="00065314">
        <w:rPr>
          <w:sz w:val="22"/>
          <w:szCs w:val="22"/>
        </w:rPr>
        <w:fldChar w:fldCharType="separate"/>
      </w:r>
      <w:r w:rsidR="00F158D8">
        <w:rPr>
          <w:noProof/>
          <w:sz w:val="22"/>
          <w:szCs w:val="22"/>
        </w:rPr>
        <w:t>4</w:t>
      </w:r>
      <w:r w:rsidRPr="00065314">
        <w:rPr>
          <w:sz w:val="22"/>
          <w:szCs w:val="22"/>
        </w:rPr>
        <w:fldChar w:fldCharType="end"/>
      </w:r>
      <w:r w:rsidRPr="00065314">
        <w:rPr>
          <w:sz w:val="22"/>
          <w:szCs w:val="22"/>
        </w:rPr>
        <w:t>.  Credit-Based Tranche Caps.</w:t>
      </w:r>
    </w:p>
    <w:tbl>
      <w:tblPr>
        <w:tblW w:w="7598" w:type="dxa"/>
        <w:tblInd w:w="1240" w:type="dxa"/>
        <w:tblLook w:val="00A0" w:firstRow="1" w:lastRow="0" w:firstColumn="1" w:lastColumn="0" w:noHBand="0" w:noVBand="0"/>
      </w:tblPr>
      <w:tblGrid>
        <w:gridCol w:w="1640"/>
        <w:gridCol w:w="1640"/>
        <w:gridCol w:w="1640"/>
        <w:gridCol w:w="2678"/>
      </w:tblGrid>
      <w:tr w:rsidR="00D94A81" w:rsidRPr="0086691E">
        <w:trPr>
          <w:trHeight w:val="404"/>
        </w:trPr>
        <w:tc>
          <w:tcPr>
            <w:tcW w:w="4920" w:type="dxa"/>
            <w:gridSpan w:val="3"/>
            <w:tcBorders>
              <w:top w:val="single" w:sz="4" w:space="0" w:color="auto"/>
              <w:left w:val="single" w:sz="4" w:space="0" w:color="auto"/>
              <w:bottom w:val="single" w:sz="4" w:space="0" w:color="auto"/>
              <w:right w:val="single" w:sz="4" w:space="0" w:color="auto"/>
            </w:tcBorders>
            <w:vAlign w:val="center"/>
          </w:tcPr>
          <w:p w:rsidR="00D94A81" w:rsidRPr="0086691E" w:rsidRDefault="00D94A81" w:rsidP="00F4383B">
            <w:pPr>
              <w:spacing w:after="0"/>
              <w:jc w:val="center"/>
              <w:rPr>
                <w:rFonts w:cs="Times New Roman"/>
                <w:b/>
                <w:bCs/>
                <w:color w:val="000000"/>
              </w:rPr>
            </w:pPr>
            <w:r w:rsidRPr="0086691E">
              <w:rPr>
                <w:b/>
                <w:bCs/>
                <w:color w:val="000000"/>
                <w:sz w:val="22"/>
                <w:szCs w:val="22"/>
              </w:rPr>
              <w:t>Credit Rating for Qualified Bidder or Guarantor</w:t>
            </w:r>
          </w:p>
        </w:tc>
        <w:tc>
          <w:tcPr>
            <w:tcW w:w="2678" w:type="dxa"/>
            <w:tcBorders>
              <w:top w:val="nil"/>
              <w:left w:val="nil"/>
              <w:bottom w:val="nil"/>
              <w:right w:val="nil"/>
            </w:tcBorders>
            <w:vAlign w:val="center"/>
          </w:tcPr>
          <w:p w:rsidR="00D94A81" w:rsidRPr="0086691E" w:rsidRDefault="00D94A81" w:rsidP="00AB0EC2">
            <w:pPr>
              <w:rPr>
                <w:rFonts w:cs="Times New Roman"/>
                <w:b/>
                <w:bCs/>
                <w:color w:val="000000"/>
              </w:rPr>
            </w:pPr>
          </w:p>
        </w:tc>
      </w:tr>
      <w:tr w:rsidR="00D94A81" w:rsidRPr="0086691E">
        <w:trPr>
          <w:trHeight w:val="431"/>
        </w:trPr>
        <w:tc>
          <w:tcPr>
            <w:tcW w:w="1640" w:type="dxa"/>
            <w:tcBorders>
              <w:top w:val="nil"/>
              <w:left w:val="single" w:sz="4" w:space="0" w:color="auto"/>
              <w:bottom w:val="single" w:sz="4" w:space="0" w:color="auto"/>
              <w:right w:val="single" w:sz="4" w:space="0" w:color="auto"/>
            </w:tcBorders>
            <w:vAlign w:val="center"/>
          </w:tcPr>
          <w:p w:rsidR="00D94A81" w:rsidRPr="0086691E" w:rsidRDefault="00D94A81" w:rsidP="00F4383B">
            <w:pPr>
              <w:spacing w:after="0"/>
              <w:jc w:val="center"/>
              <w:rPr>
                <w:rFonts w:cs="Times New Roman"/>
                <w:b/>
                <w:bCs/>
                <w:color w:val="000000"/>
              </w:rPr>
            </w:pPr>
            <w:r w:rsidRPr="0086691E">
              <w:rPr>
                <w:b/>
                <w:bCs/>
                <w:color w:val="000000"/>
                <w:sz w:val="22"/>
                <w:szCs w:val="22"/>
              </w:rPr>
              <w:t>S&amp;P</w:t>
            </w:r>
          </w:p>
        </w:tc>
        <w:tc>
          <w:tcPr>
            <w:tcW w:w="1640" w:type="dxa"/>
            <w:tcBorders>
              <w:top w:val="nil"/>
              <w:left w:val="nil"/>
              <w:bottom w:val="single" w:sz="4" w:space="0" w:color="auto"/>
              <w:right w:val="single" w:sz="4" w:space="0" w:color="auto"/>
            </w:tcBorders>
            <w:vAlign w:val="center"/>
          </w:tcPr>
          <w:p w:rsidR="00D94A81" w:rsidRPr="0086691E" w:rsidRDefault="00D94A81" w:rsidP="00F4383B">
            <w:pPr>
              <w:spacing w:after="0"/>
              <w:jc w:val="center"/>
              <w:rPr>
                <w:rFonts w:cs="Times New Roman"/>
                <w:b/>
                <w:bCs/>
                <w:color w:val="000000"/>
              </w:rPr>
            </w:pPr>
            <w:r w:rsidRPr="0086691E">
              <w:rPr>
                <w:b/>
                <w:bCs/>
                <w:color w:val="000000"/>
                <w:sz w:val="22"/>
                <w:szCs w:val="22"/>
              </w:rPr>
              <w:t>Moody's</w:t>
            </w:r>
          </w:p>
        </w:tc>
        <w:tc>
          <w:tcPr>
            <w:tcW w:w="1640" w:type="dxa"/>
            <w:tcBorders>
              <w:top w:val="nil"/>
              <w:left w:val="nil"/>
              <w:bottom w:val="single" w:sz="4" w:space="0" w:color="auto"/>
              <w:right w:val="single" w:sz="4" w:space="0" w:color="auto"/>
            </w:tcBorders>
            <w:vAlign w:val="center"/>
          </w:tcPr>
          <w:p w:rsidR="00D94A81" w:rsidRPr="0086691E" w:rsidRDefault="00D94A81" w:rsidP="00F4383B">
            <w:pPr>
              <w:spacing w:after="0"/>
              <w:jc w:val="center"/>
              <w:rPr>
                <w:rFonts w:cs="Times New Roman"/>
                <w:b/>
                <w:bCs/>
                <w:color w:val="000000"/>
              </w:rPr>
            </w:pPr>
            <w:r w:rsidRPr="0086691E">
              <w:rPr>
                <w:b/>
                <w:bCs/>
                <w:color w:val="000000"/>
                <w:sz w:val="22"/>
                <w:szCs w:val="22"/>
              </w:rPr>
              <w:t>Fitch</w:t>
            </w:r>
          </w:p>
        </w:tc>
        <w:tc>
          <w:tcPr>
            <w:tcW w:w="2678" w:type="dxa"/>
            <w:tcBorders>
              <w:top w:val="single" w:sz="4" w:space="0" w:color="auto"/>
              <w:left w:val="nil"/>
              <w:bottom w:val="single" w:sz="4" w:space="0" w:color="auto"/>
              <w:right w:val="single" w:sz="4" w:space="0" w:color="auto"/>
            </w:tcBorders>
            <w:vAlign w:val="center"/>
          </w:tcPr>
          <w:p w:rsidR="00D94A81" w:rsidRPr="0086691E" w:rsidRDefault="00D94A81" w:rsidP="00F4383B">
            <w:pPr>
              <w:spacing w:after="0"/>
              <w:jc w:val="center"/>
              <w:rPr>
                <w:rFonts w:cs="Times New Roman"/>
                <w:b/>
                <w:bCs/>
                <w:color w:val="000000"/>
              </w:rPr>
            </w:pPr>
            <w:r w:rsidRPr="0086691E">
              <w:rPr>
                <w:b/>
                <w:bCs/>
                <w:color w:val="000000"/>
                <w:sz w:val="22"/>
                <w:szCs w:val="22"/>
              </w:rPr>
              <w:t>Credit-Based Tranche Cap*</w:t>
            </w:r>
          </w:p>
        </w:tc>
      </w:tr>
      <w:tr w:rsidR="00D94A81" w:rsidRPr="0086691E">
        <w:trPr>
          <w:trHeight w:val="300"/>
        </w:trPr>
        <w:tc>
          <w:tcPr>
            <w:tcW w:w="1640" w:type="dxa"/>
            <w:tcBorders>
              <w:top w:val="nil"/>
              <w:left w:val="single" w:sz="4" w:space="0" w:color="auto"/>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BB and above</w:t>
            </w:r>
          </w:p>
        </w:tc>
        <w:tc>
          <w:tcPr>
            <w:tcW w:w="1640" w:type="dxa"/>
            <w:tcBorders>
              <w:top w:val="nil"/>
              <w:left w:val="nil"/>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Ba2 and above</w:t>
            </w:r>
          </w:p>
        </w:tc>
        <w:tc>
          <w:tcPr>
            <w:tcW w:w="1640" w:type="dxa"/>
            <w:tcBorders>
              <w:top w:val="nil"/>
              <w:left w:val="nil"/>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BB and above</w:t>
            </w:r>
          </w:p>
        </w:tc>
        <w:tc>
          <w:tcPr>
            <w:tcW w:w="2678" w:type="dxa"/>
            <w:tcBorders>
              <w:top w:val="nil"/>
              <w:left w:val="nil"/>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No Cap</w:t>
            </w:r>
          </w:p>
        </w:tc>
      </w:tr>
      <w:tr w:rsidR="00D94A81" w:rsidRPr="0086691E">
        <w:trPr>
          <w:trHeight w:val="300"/>
        </w:trPr>
        <w:tc>
          <w:tcPr>
            <w:tcW w:w="1640" w:type="dxa"/>
            <w:tcBorders>
              <w:top w:val="nil"/>
              <w:left w:val="single" w:sz="4" w:space="0" w:color="auto"/>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BB-</w:t>
            </w:r>
          </w:p>
        </w:tc>
        <w:tc>
          <w:tcPr>
            <w:tcW w:w="1640" w:type="dxa"/>
            <w:tcBorders>
              <w:top w:val="nil"/>
              <w:left w:val="nil"/>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Ba3</w:t>
            </w:r>
          </w:p>
        </w:tc>
        <w:tc>
          <w:tcPr>
            <w:tcW w:w="1640" w:type="dxa"/>
            <w:tcBorders>
              <w:top w:val="nil"/>
              <w:left w:val="nil"/>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BB-</w:t>
            </w:r>
          </w:p>
        </w:tc>
        <w:tc>
          <w:tcPr>
            <w:tcW w:w="2678" w:type="dxa"/>
            <w:tcBorders>
              <w:top w:val="nil"/>
              <w:left w:val="nil"/>
              <w:bottom w:val="single" w:sz="4" w:space="0" w:color="auto"/>
              <w:right w:val="single" w:sz="4" w:space="0" w:color="auto"/>
            </w:tcBorders>
            <w:noWrap/>
            <w:vAlign w:val="center"/>
          </w:tcPr>
          <w:p w:rsidR="00D94A81" w:rsidRPr="0086691E" w:rsidRDefault="00D94A81" w:rsidP="00F4383B">
            <w:pPr>
              <w:spacing w:after="0"/>
              <w:jc w:val="right"/>
              <w:rPr>
                <w:rFonts w:cs="Times New Roman"/>
                <w:color w:val="000000"/>
              </w:rPr>
            </w:pPr>
            <w:r w:rsidRPr="0086691E">
              <w:rPr>
                <w:color w:val="000000"/>
                <w:sz w:val="22"/>
                <w:szCs w:val="22"/>
              </w:rPr>
              <w:t>10</w:t>
            </w:r>
          </w:p>
        </w:tc>
      </w:tr>
      <w:tr w:rsidR="00D94A81" w:rsidRPr="0086691E">
        <w:trPr>
          <w:trHeight w:val="300"/>
        </w:trPr>
        <w:tc>
          <w:tcPr>
            <w:tcW w:w="1640" w:type="dxa"/>
            <w:tcBorders>
              <w:top w:val="nil"/>
              <w:left w:val="single" w:sz="4" w:space="0" w:color="auto"/>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Below BB-</w:t>
            </w:r>
          </w:p>
        </w:tc>
        <w:tc>
          <w:tcPr>
            <w:tcW w:w="1640" w:type="dxa"/>
            <w:tcBorders>
              <w:top w:val="nil"/>
              <w:left w:val="nil"/>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Below</w:t>
            </w:r>
          </w:p>
        </w:tc>
        <w:tc>
          <w:tcPr>
            <w:tcW w:w="1640" w:type="dxa"/>
            <w:tcBorders>
              <w:top w:val="nil"/>
              <w:left w:val="nil"/>
              <w:bottom w:val="single" w:sz="4" w:space="0" w:color="auto"/>
              <w:right w:val="single" w:sz="4" w:space="0" w:color="auto"/>
            </w:tcBorders>
            <w:noWrap/>
            <w:vAlign w:val="center"/>
          </w:tcPr>
          <w:p w:rsidR="00D94A81" w:rsidRPr="0086691E" w:rsidRDefault="00D94A81" w:rsidP="00F4383B">
            <w:pPr>
              <w:spacing w:after="0"/>
              <w:rPr>
                <w:rFonts w:cs="Times New Roman"/>
                <w:color w:val="000000"/>
              </w:rPr>
            </w:pPr>
            <w:r w:rsidRPr="0086691E">
              <w:rPr>
                <w:color w:val="000000"/>
                <w:sz w:val="22"/>
                <w:szCs w:val="22"/>
              </w:rPr>
              <w:t>Below BB-</w:t>
            </w:r>
          </w:p>
        </w:tc>
        <w:tc>
          <w:tcPr>
            <w:tcW w:w="2678" w:type="dxa"/>
            <w:tcBorders>
              <w:top w:val="nil"/>
              <w:left w:val="nil"/>
              <w:bottom w:val="single" w:sz="4" w:space="0" w:color="auto"/>
              <w:right w:val="single" w:sz="4" w:space="0" w:color="auto"/>
            </w:tcBorders>
            <w:noWrap/>
            <w:vAlign w:val="center"/>
          </w:tcPr>
          <w:p w:rsidR="00D94A81" w:rsidRPr="0086691E" w:rsidRDefault="00D94A81" w:rsidP="00F4383B">
            <w:pPr>
              <w:spacing w:after="0"/>
              <w:jc w:val="right"/>
              <w:rPr>
                <w:rFonts w:cs="Times New Roman"/>
                <w:color w:val="000000"/>
              </w:rPr>
            </w:pPr>
            <w:r w:rsidRPr="0086691E">
              <w:rPr>
                <w:color w:val="000000"/>
                <w:sz w:val="22"/>
                <w:szCs w:val="22"/>
              </w:rPr>
              <w:t>5</w:t>
            </w:r>
          </w:p>
        </w:tc>
      </w:tr>
      <w:tr w:rsidR="00D94A81" w:rsidRPr="0086691E">
        <w:trPr>
          <w:trHeight w:val="300"/>
        </w:trPr>
        <w:tc>
          <w:tcPr>
            <w:tcW w:w="4920" w:type="dxa"/>
            <w:gridSpan w:val="3"/>
            <w:tcBorders>
              <w:top w:val="single" w:sz="4" w:space="0" w:color="auto"/>
              <w:left w:val="single" w:sz="4" w:space="0" w:color="auto"/>
              <w:bottom w:val="single" w:sz="4" w:space="0" w:color="auto"/>
              <w:right w:val="single" w:sz="4" w:space="0" w:color="000000"/>
            </w:tcBorders>
            <w:noWrap/>
            <w:vAlign w:val="center"/>
          </w:tcPr>
          <w:p w:rsidR="00D94A81" w:rsidRPr="0086691E" w:rsidRDefault="00D94A81" w:rsidP="00F4383B">
            <w:pPr>
              <w:spacing w:after="0"/>
              <w:rPr>
                <w:rFonts w:cs="Times New Roman"/>
                <w:color w:val="000000"/>
              </w:rPr>
            </w:pPr>
            <w:r w:rsidRPr="0086691E">
              <w:rPr>
                <w:color w:val="000000"/>
                <w:sz w:val="22"/>
                <w:szCs w:val="22"/>
              </w:rPr>
              <w:t>If not rated by any of these  rating agencies</w:t>
            </w:r>
          </w:p>
        </w:tc>
        <w:tc>
          <w:tcPr>
            <w:tcW w:w="2678" w:type="dxa"/>
            <w:tcBorders>
              <w:top w:val="nil"/>
              <w:left w:val="nil"/>
              <w:bottom w:val="single" w:sz="4" w:space="0" w:color="auto"/>
              <w:right w:val="single" w:sz="4" w:space="0" w:color="auto"/>
            </w:tcBorders>
            <w:noWrap/>
            <w:vAlign w:val="center"/>
          </w:tcPr>
          <w:p w:rsidR="00D94A81" w:rsidRPr="0086691E" w:rsidRDefault="00D94A81" w:rsidP="00F4383B">
            <w:pPr>
              <w:spacing w:after="0"/>
              <w:jc w:val="right"/>
              <w:rPr>
                <w:rFonts w:cs="Times New Roman"/>
                <w:color w:val="000000"/>
              </w:rPr>
            </w:pPr>
            <w:r w:rsidRPr="0086691E">
              <w:rPr>
                <w:color w:val="000000"/>
                <w:sz w:val="22"/>
                <w:szCs w:val="22"/>
              </w:rPr>
              <w:t>5</w:t>
            </w:r>
          </w:p>
        </w:tc>
      </w:tr>
    </w:tbl>
    <w:p w:rsidR="00D94A81" w:rsidRDefault="00D94A81">
      <w:pPr>
        <w:spacing w:after="200" w:line="276" w:lineRule="auto"/>
        <w:rPr>
          <w:rFonts w:cs="Times New Roman"/>
          <w:b/>
          <w:bCs/>
        </w:rPr>
      </w:pPr>
    </w:p>
    <w:p w:rsidR="00D94A81" w:rsidRDefault="00D94A81" w:rsidP="00EC0C7C">
      <w:pPr>
        <w:pStyle w:val="ListParagraph"/>
        <w:numPr>
          <w:ilvl w:val="0"/>
          <w:numId w:val="14"/>
        </w:numPr>
        <w:spacing w:after="0"/>
        <w:rPr>
          <w:rFonts w:cs="Times New Roman"/>
        </w:rPr>
      </w:pPr>
      <w:r w:rsidRPr="00E31EDA">
        <w:rPr>
          <w:b/>
          <w:bCs/>
        </w:rPr>
        <w:lastRenderedPageBreak/>
        <w:t xml:space="preserve">Auction </w:t>
      </w:r>
      <w:r>
        <w:rPr>
          <w:b/>
          <w:bCs/>
        </w:rPr>
        <w:t xml:space="preserve">Process.  </w:t>
      </w:r>
      <w:r>
        <w:t>The auction format and post-auction process will</w:t>
      </w:r>
      <w:r w:rsidRPr="005A0EE9">
        <w:t xml:space="preserve"> </w:t>
      </w:r>
      <w:r>
        <w:t>be based upon</w:t>
      </w:r>
      <w:r w:rsidRPr="005A0EE9">
        <w:t xml:space="preserve"> the process established by Duke Energy Ohio and by the FirstEnergy Ohio Utilities.</w:t>
      </w:r>
    </w:p>
    <w:p w:rsidR="00D94A81" w:rsidRDefault="00D94A81" w:rsidP="00EC0C7C">
      <w:pPr>
        <w:pStyle w:val="ListParagraph"/>
        <w:numPr>
          <w:ilvl w:val="0"/>
          <w:numId w:val="20"/>
        </w:numPr>
        <w:spacing w:after="0"/>
      </w:pPr>
      <w:r>
        <w:t xml:space="preserve">The auction format will be a descending clock auction, which is a multiple round auction format.  </w:t>
      </w:r>
    </w:p>
    <w:p w:rsidR="00D94A81" w:rsidRDefault="00D94A81" w:rsidP="00EC0C7C">
      <w:pPr>
        <w:pStyle w:val="ListParagraph"/>
        <w:numPr>
          <w:ilvl w:val="0"/>
          <w:numId w:val="20"/>
        </w:numPr>
        <w:spacing w:after="0"/>
      </w:pPr>
      <w:r>
        <w:t>Suppliers in each round state the number of tranches that they are willing to bid of each product in the auction.  Suppliers may reduce (but may never increase) the total number of tranches that they bid during the auction.  When a supplier reduces the number of tranches bid for a product, the supplier may provide an exit price for that product, which is a last and best offer for those tranches.</w:t>
      </w:r>
    </w:p>
    <w:p w:rsidR="00D94A81" w:rsidRDefault="00D94A81" w:rsidP="00EC0C7C">
      <w:pPr>
        <w:pStyle w:val="ListParagraph"/>
        <w:numPr>
          <w:ilvl w:val="0"/>
          <w:numId w:val="20"/>
        </w:numPr>
        <w:spacing w:after="0"/>
        <w:rPr>
          <w:rFonts w:cs="Times New Roman"/>
        </w:rPr>
      </w:pPr>
      <w:r>
        <w:t xml:space="preserve">Each supplier (or group of affiliated bidders) will be subject to an 80% load cap and to a credit-based tranche cap. </w:t>
      </w:r>
    </w:p>
    <w:p w:rsidR="00D94A81" w:rsidRDefault="00D94A81" w:rsidP="00EC0C7C">
      <w:pPr>
        <w:pStyle w:val="ListParagraph"/>
        <w:numPr>
          <w:ilvl w:val="0"/>
          <w:numId w:val="20"/>
        </w:numPr>
        <w:spacing w:after="0"/>
      </w:pPr>
      <w:r>
        <w:t xml:space="preserve">Price decrements used in each round will be determined through a formula or table that will be released to suppliers before the auction. </w:t>
      </w:r>
    </w:p>
    <w:p w:rsidR="00D94A81" w:rsidRDefault="00D94A81" w:rsidP="00EC0C7C">
      <w:pPr>
        <w:pStyle w:val="ListParagraph"/>
        <w:numPr>
          <w:ilvl w:val="0"/>
          <w:numId w:val="20"/>
        </w:numPr>
        <w:spacing w:after="0"/>
      </w:pPr>
      <w:r>
        <w:t>At the conclusion of each auction:</w:t>
      </w:r>
    </w:p>
    <w:p w:rsidR="00D94A81" w:rsidRDefault="00D94A81" w:rsidP="00EC0C7C">
      <w:pPr>
        <w:pStyle w:val="ListParagraph"/>
        <w:numPr>
          <w:ilvl w:val="1"/>
          <w:numId w:val="20"/>
        </w:numPr>
        <w:spacing w:after="0"/>
        <w:ind w:left="1080"/>
      </w:pPr>
      <w:r>
        <w:t>The Auction Manager will make a determination of whether the CBP rules were followed.  The Auction Manager will present the results of the auction to the PUCO.</w:t>
      </w:r>
    </w:p>
    <w:p w:rsidR="00D94A81" w:rsidRDefault="00D94A81" w:rsidP="00EC0C7C">
      <w:pPr>
        <w:pStyle w:val="ListParagraph"/>
        <w:numPr>
          <w:ilvl w:val="1"/>
          <w:numId w:val="20"/>
        </w:numPr>
        <w:spacing w:after="0"/>
        <w:ind w:left="1080"/>
      </w:pPr>
      <w:r>
        <w:t xml:space="preserve">The PUCO may reject results within two (2) business days </w:t>
      </w:r>
      <w:r w:rsidRPr="0088525A">
        <w:rPr>
          <w:u w:val="single"/>
        </w:rPr>
        <w:t>either</w:t>
      </w:r>
      <w:r>
        <w:t xml:space="preserve">: if the Auction Manager determines that the CBP Rules were not followed; </w:t>
      </w:r>
      <w:r w:rsidRPr="0088525A">
        <w:rPr>
          <w:u w:val="single"/>
        </w:rPr>
        <w:t>or</w:t>
      </w:r>
      <w:r>
        <w:t xml:space="preserve">: if one of the following criteria were </w:t>
      </w:r>
      <w:r w:rsidRPr="00A62DD2">
        <w:rPr>
          <w:u w:val="single"/>
        </w:rPr>
        <w:t>not</w:t>
      </w:r>
      <w:r>
        <w:t xml:space="preserve"> met:</w:t>
      </w:r>
    </w:p>
    <w:p w:rsidR="00D94A81" w:rsidRDefault="00D94A81" w:rsidP="00EC0C7C">
      <w:pPr>
        <w:pStyle w:val="ListParagraph"/>
        <w:numPr>
          <w:ilvl w:val="2"/>
          <w:numId w:val="21"/>
        </w:numPr>
        <w:spacing w:after="0"/>
        <w:ind w:left="1440" w:hanging="360"/>
      </w:pPr>
      <w:r>
        <w:t>The auction was oversubscribed on the basis of the indicative offers received in the Part 2 Application;</w:t>
      </w:r>
    </w:p>
    <w:p w:rsidR="00D94A81" w:rsidRDefault="00D94A81" w:rsidP="00EC0C7C">
      <w:pPr>
        <w:pStyle w:val="ListParagraph"/>
        <w:numPr>
          <w:ilvl w:val="2"/>
          <w:numId w:val="21"/>
        </w:numPr>
        <w:spacing w:after="0"/>
        <w:ind w:left="1440" w:hanging="360"/>
      </w:pPr>
      <w:r>
        <w:t>There were four or more bidders;</w:t>
      </w:r>
    </w:p>
    <w:p w:rsidR="00D94A81" w:rsidRDefault="00D94A81" w:rsidP="00EC0C7C">
      <w:pPr>
        <w:pStyle w:val="ListParagraph"/>
        <w:numPr>
          <w:ilvl w:val="2"/>
          <w:numId w:val="21"/>
        </w:numPr>
        <w:spacing w:after="0"/>
        <w:ind w:left="1440" w:hanging="360"/>
      </w:pPr>
      <w:r>
        <w:t>No bidder won more than 80% of the tranches available at the start of the auction.</w:t>
      </w:r>
    </w:p>
    <w:p w:rsidR="00D94A81" w:rsidRDefault="00D94A81" w:rsidP="00EC0C7C">
      <w:pPr>
        <w:pStyle w:val="ListParagraph"/>
        <w:numPr>
          <w:ilvl w:val="1"/>
          <w:numId w:val="20"/>
        </w:numPr>
        <w:spacing w:after="0"/>
        <w:ind w:left="1080"/>
      </w:pPr>
      <w:r>
        <w:t>If the PUCO does not reject the results within two (2) business days, the results are deemed approved.</w:t>
      </w:r>
    </w:p>
    <w:p w:rsidR="00D94A81" w:rsidRDefault="00D94A81" w:rsidP="00EC0C7C">
      <w:pPr>
        <w:pStyle w:val="ListParagraph"/>
        <w:numPr>
          <w:ilvl w:val="0"/>
          <w:numId w:val="20"/>
        </w:numPr>
        <w:spacing w:after="0"/>
      </w:pPr>
      <w:r>
        <w:t xml:space="preserve">In a given auction, all suppliers will be paid a uniform price for a given product.  This price will be the lowest price at which there is sufficient supply. </w:t>
      </w:r>
    </w:p>
    <w:p w:rsidR="00D94A81" w:rsidRDefault="00D94A81" w:rsidP="00EC0C7C">
      <w:pPr>
        <w:pStyle w:val="ListParagraph"/>
        <w:numPr>
          <w:ilvl w:val="0"/>
          <w:numId w:val="20"/>
        </w:numPr>
        <w:spacing w:after="0"/>
      </w:pPr>
      <w:r>
        <w:t>If the auction results are approved, suppliers and AEP Ohio must execute the Master SSO Supply Agreement with three (3) business days.</w:t>
      </w:r>
    </w:p>
    <w:p w:rsidR="00D94A81" w:rsidRPr="0008005F" w:rsidRDefault="00D94A81" w:rsidP="0088525A">
      <w:pPr>
        <w:spacing w:after="0"/>
        <w:rPr>
          <w:rFonts w:cs="Times New Roman"/>
        </w:rPr>
      </w:pPr>
    </w:p>
    <w:p w:rsidR="00D94A81" w:rsidRDefault="00D94A81" w:rsidP="00137159">
      <w:pPr>
        <w:pStyle w:val="ListParagraph"/>
        <w:spacing w:after="0"/>
        <w:ind w:left="1440"/>
        <w:rPr>
          <w:rFonts w:cs="Times New Roman"/>
        </w:rPr>
      </w:pPr>
    </w:p>
    <w:p w:rsidR="00D94A81" w:rsidRDefault="00D94A81">
      <w:pPr>
        <w:spacing w:after="200" w:line="276" w:lineRule="auto"/>
        <w:rPr>
          <w:rFonts w:cs="Times New Roman"/>
          <w:b/>
          <w:bCs/>
        </w:rPr>
      </w:pPr>
    </w:p>
    <w:p w:rsidR="00D94A81" w:rsidRDefault="00D94A81" w:rsidP="00EC0C7C">
      <w:pPr>
        <w:pStyle w:val="ListParagraph"/>
        <w:numPr>
          <w:ilvl w:val="0"/>
          <w:numId w:val="14"/>
        </w:numPr>
      </w:pPr>
      <w:r>
        <w:rPr>
          <w:rFonts w:cs="Times New Roman"/>
          <w:b/>
          <w:bCs/>
        </w:rPr>
        <w:br w:type="page"/>
      </w:r>
      <w:r>
        <w:rPr>
          <w:b/>
          <w:bCs/>
        </w:rPr>
        <w:lastRenderedPageBreak/>
        <w:t>Communications Protocols</w:t>
      </w:r>
      <w:r w:rsidRPr="00FF5767">
        <w:t xml:space="preserve">.  </w:t>
      </w:r>
      <w:r>
        <w:t xml:space="preserve">The objective of the Communication Protocols is to ensure the proper handling of confidential information and to ensure that all suppliers have equal access to information necessary to prepare their bids.  </w:t>
      </w:r>
      <w:r w:rsidRPr="00FF5767">
        <w:t>Topics of the communication protocols will follow the documents used by Duke En</w:t>
      </w:r>
      <w:r w:rsidRPr="005A0EE9">
        <w:t>ergy Ohio and by the FirstEnergy Ohio Utilities.</w:t>
      </w:r>
      <w:r>
        <w:t xml:space="preserve">  These protocols will address the following:</w:t>
      </w:r>
    </w:p>
    <w:p w:rsidR="00D94A81" w:rsidRDefault="00D94A81" w:rsidP="00EC0C7C">
      <w:pPr>
        <w:pStyle w:val="ListParagraph"/>
        <w:numPr>
          <w:ilvl w:val="1"/>
          <w:numId w:val="14"/>
        </w:numPr>
        <w:spacing w:after="0"/>
        <w:ind w:left="720"/>
      </w:pPr>
      <w:r>
        <w:t>The CBP website will be the main source of information for suppliers and all stakeholders.</w:t>
      </w:r>
    </w:p>
    <w:p w:rsidR="00D94A81" w:rsidRDefault="00D94A81" w:rsidP="00EC0C7C">
      <w:pPr>
        <w:pStyle w:val="ListParagraph"/>
        <w:numPr>
          <w:ilvl w:val="1"/>
          <w:numId w:val="14"/>
        </w:numPr>
        <w:spacing w:after="0"/>
        <w:ind w:left="720"/>
      </w:pPr>
      <w:r>
        <w:t>The Auction Manager or AEP Ohio may issue notices or ads for the purpose of outreach to suppliers that may become potential bidders in the CBP.</w:t>
      </w:r>
    </w:p>
    <w:p w:rsidR="00D94A81" w:rsidRDefault="00D94A81" w:rsidP="00EC0C7C">
      <w:pPr>
        <w:pStyle w:val="ListParagraph"/>
        <w:numPr>
          <w:ilvl w:val="1"/>
          <w:numId w:val="14"/>
        </w:numPr>
        <w:spacing w:after="0"/>
        <w:ind w:left="720"/>
      </w:pPr>
      <w:r>
        <w:t xml:space="preserve">During the auction process, the Auction Manager will interface with the bidders (prior to signing of the Master </w:t>
      </w:r>
      <w:r w:rsidR="00A62DD2">
        <w:t xml:space="preserve">SSO Supply </w:t>
      </w:r>
      <w:r>
        <w:t>Agreements).  The Auction Manager will respond to bidder question and concerns; all responses to individual bidder questions will be posted to the CBP website for the benefit of all suppliers.</w:t>
      </w:r>
    </w:p>
    <w:p w:rsidR="00D94A81" w:rsidRDefault="00D94A81" w:rsidP="00EC0C7C">
      <w:pPr>
        <w:pStyle w:val="ListParagraph"/>
        <w:numPr>
          <w:ilvl w:val="1"/>
          <w:numId w:val="14"/>
        </w:numPr>
        <w:spacing w:after="0"/>
        <w:ind w:left="720"/>
      </w:pPr>
      <w:r>
        <w:t>Named representatives for AEP Ohio, who will be subject to a confidentiality agreement, will participate in the qualification of bidders, notably in making a creditworthiness assessment and determining the acceptability of credit instruments, a</w:t>
      </w:r>
      <w:r w:rsidR="00A62DD2">
        <w:t>nd will have access during the a</w:t>
      </w:r>
      <w:r>
        <w:t>uction to the next round prices, the range of excess supply, and messages from the Auction Manager.  The Auction Manager will commun</w:t>
      </w:r>
      <w:r w:rsidR="00A62DD2">
        <w:t>icate with AEP Ohio during the a</w:t>
      </w:r>
      <w:r>
        <w:t xml:space="preserve">uction if any issues related to the administration of the auction arise that may affect the results. </w:t>
      </w:r>
    </w:p>
    <w:p w:rsidR="00D94A81" w:rsidRDefault="00D94A81" w:rsidP="00EC0C7C">
      <w:pPr>
        <w:pStyle w:val="ListParagraph"/>
        <w:numPr>
          <w:ilvl w:val="1"/>
          <w:numId w:val="14"/>
        </w:numPr>
        <w:spacing w:after="0"/>
        <w:ind w:left="720"/>
      </w:pPr>
      <w:r>
        <w:t xml:space="preserve">During the auction, representatives of the PUCO Staff and the PUCO’s consultant that are present at the Auction Manager’s location will have access, if desired, to the results available to the Auction Manager on a round-by-round basis.  If preferable for PUCO Staff, the Auction Manager’s location will be in Columbus. </w:t>
      </w:r>
    </w:p>
    <w:p w:rsidR="00D94A81" w:rsidRDefault="00D94A81" w:rsidP="00EC0C7C">
      <w:pPr>
        <w:pStyle w:val="ListParagraph"/>
        <w:numPr>
          <w:ilvl w:val="1"/>
          <w:numId w:val="14"/>
        </w:numPr>
        <w:spacing w:after="0"/>
        <w:ind w:left="720"/>
      </w:pPr>
      <w:r>
        <w:t>The PUCO’s consultant report will be available in its entirety to the Auction Manager and will be available on a redacted basis to AEP Ohio.</w:t>
      </w:r>
    </w:p>
    <w:p w:rsidR="00D94A81" w:rsidRDefault="00D94A81" w:rsidP="00EC0C7C">
      <w:pPr>
        <w:pStyle w:val="ListParagraph"/>
        <w:numPr>
          <w:ilvl w:val="1"/>
          <w:numId w:val="14"/>
        </w:numPr>
        <w:spacing w:after="0"/>
        <w:ind w:left="720"/>
      </w:pPr>
      <w:r>
        <w:t>Any public release of auction results will be made in accordance with PUCO decisions.</w:t>
      </w:r>
    </w:p>
    <w:p w:rsidR="00D94A81" w:rsidRDefault="00D94A81" w:rsidP="00B71A8F">
      <w:pPr>
        <w:pStyle w:val="ListParagraph"/>
        <w:spacing w:after="0"/>
        <w:rPr>
          <w:rFonts w:cs="Times New Roman"/>
        </w:rPr>
      </w:pPr>
    </w:p>
    <w:p w:rsidR="00D94A81" w:rsidRDefault="00D94A81" w:rsidP="00315C7F">
      <w:pPr>
        <w:pStyle w:val="ListParagraph"/>
        <w:spacing w:after="0"/>
        <w:ind w:left="360"/>
        <w:rPr>
          <w:rFonts w:cs="Times New Roman"/>
        </w:rPr>
      </w:pPr>
    </w:p>
    <w:p w:rsidR="00D94A81" w:rsidRDefault="00D94A81">
      <w:pPr>
        <w:spacing w:after="200" w:line="276" w:lineRule="auto"/>
        <w:rPr>
          <w:rFonts w:cs="Times New Roman"/>
          <w:b/>
          <w:bCs/>
        </w:rPr>
      </w:pPr>
    </w:p>
    <w:p w:rsidR="00D94A81" w:rsidRPr="00423B21" w:rsidRDefault="002F6AE3" w:rsidP="00EC0C7C">
      <w:pPr>
        <w:pStyle w:val="ListParagraph"/>
        <w:numPr>
          <w:ilvl w:val="0"/>
          <w:numId w:val="14"/>
        </w:numPr>
        <w:spacing w:after="0"/>
      </w:pPr>
      <w:r>
        <w:rPr>
          <w:b/>
          <w:bCs/>
        </w:rPr>
        <w:br w:type="page"/>
      </w:r>
      <w:r w:rsidR="00D94A81" w:rsidRPr="008C61FB">
        <w:rPr>
          <w:b/>
          <w:bCs/>
        </w:rPr>
        <w:lastRenderedPageBreak/>
        <w:t>Data to be provided</w:t>
      </w:r>
      <w:r w:rsidR="00D94A81">
        <w:rPr>
          <w:b/>
          <w:bCs/>
        </w:rPr>
        <w:t xml:space="preserve">.  </w:t>
      </w:r>
      <w:r w:rsidR="00D94A81" w:rsidRPr="00423B21">
        <w:t xml:space="preserve">Subject to discussion with suppliers, AEP Ohio intends to provide three years of </w:t>
      </w:r>
      <w:r w:rsidR="00D94A81">
        <w:t xml:space="preserve">historical </w:t>
      </w:r>
      <w:r w:rsidR="00D94A81" w:rsidRPr="00423B21">
        <w:t xml:space="preserve">data for suppliers to </w:t>
      </w:r>
      <w:r w:rsidR="00D94A81">
        <w:t xml:space="preserve">use in </w:t>
      </w:r>
      <w:r w:rsidR="00D94A81" w:rsidRPr="00423B21">
        <w:t>prepar</w:t>
      </w:r>
      <w:r w:rsidR="00D94A81">
        <w:t>ing</w:t>
      </w:r>
      <w:r w:rsidR="00D94A81" w:rsidRPr="00423B21">
        <w:t xml:space="preserve"> their bids.</w:t>
      </w:r>
    </w:p>
    <w:p w:rsidR="00D94A81" w:rsidRDefault="00D94A81" w:rsidP="00EC0C7C">
      <w:pPr>
        <w:pStyle w:val="ListParagraph"/>
        <w:numPr>
          <w:ilvl w:val="1"/>
          <w:numId w:val="14"/>
        </w:numPr>
        <w:spacing w:after="0"/>
        <w:ind w:left="720"/>
      </w:pPr>
      <w:r>
        <w:t>AEP Ohio will provide data beginning on June 1, 2010.</w:t>
      </w:r>
      <w:r w:rsidRPr="006D24CA">
        <w:t xml:space="preserve"> </w:t>
      </w:r>
      <w:r>
        <w:t>Data will first be posted to the website in January 2013 and updated monthly.  </w:t>
      </w:r>
    </w:p>
    <w:p w:rsidR="00D94A81" w:rsidRDefault="00D94A81" w:rsidP="00EC0C7C">
      <w:pPr>
        <w:pStyle w:val="ListParagraph"/>
        <w:numPr>
          <w:ilvl w:val="1"/>
          <w:numId w:val="14"/>
        </w:numPr>
        <w:spacing w:after="0"/>
        <w:ind w:left="720"/>
      </w:pPr>
      <w:r>
        <w:t xml:space="preserve">The data will include hourly energy for SSO load and CRES load in the aggregate, and will be broken down among three (3) groups: residential, small commercial and industrial, as well as large commercial and industrial.  Data will be provided separately for CSP and OP and this breakdown will be maintained post- merger.  </w:t>
      </w:r>
    </w:p>
    <w:p w:rsidR="00D94A81" w:rsidRDefault="00D94A81" w:rsidP="00EC0C7C">
      <w:pPr>
        <w:pStyle w:val="ListParagraph"/>
        <w:numPr>
          <w:ilvl w:val="1"/>
          <w:numId w:val="14"/>
        </w:numPr>
        <w:spacing w:after="0"/>
        <w:ind w:left="720"/>
      </w:pPr>
      <w:r>
        <w:t>The data will be comprised of hourly energy after the 60 day reconciliation.  Beginning with loads for January 2013, data will also be provided from the initial day after load backcast, which does not reflect the 60-day reconciliation.</w:t>
      </w:r>
    </w:p>
    <w:p w:rsidR="00D94A81" w:rsidRDefault="00D94A81" w:rsidP="00B166D8">
      <w:pPr>
        <w:pStyle w:val="ListParagraph"/>
        <w:spacing w:after="200" w:line="276" w:lineRule="auto"/>
        <w:ind w:left="0"/>
        <w:rPr>
          <w:rFonts w:cs="Times New Roman"/>
        </w:rPr>
      </w:pPr>
    </w:p>
    <w:p w:rsidR="00D94A81" w:rsidRDefault="00D94A81" w:rsidP="00EC0C7C">
      <w:pPr>
        <w:pStyle w:val="ListParagraph"/>
        <w:numPr>
          <w:ilvl w:val="0"/>
          <w:numId w:val="14"/>
        </w:numPr>
        <w:spacing w:after="0"/>
      </w:pPr>
      <w:r>
        <w:rPr>
          <w:rFonts w:cs="Times New Roman"/>
          <w:b/>
          <w:bCs/>
        </w:rPr>
        <w:br w:type="page"/>
      </w:r>
      <w:r w:rsidRPr="008C61FB">
        <w:rPr>
          <w:b/>
          <w:bCs/>
        </w:rPr>
        <w:lastRenderedPageBreak/>
        <w:t>Improvement Workshops</w:t>
      </w:r>
      <w:r>
        <w:rPr>
          <w:b/>
          <w:bCs/>
        </w:rPr>
        <w:t xml:space="preserve">.  </w:t>
      </w:r>
      <w:r w:rsidRPr="00C3439E">
        <w:t xml:space="preserve">AEP Ohio proposes to </w:t>
      </w:r>
      <w:r>
        <w:t xml:space="preserve">solicit further input from stakeholders </w:t>
      </w:r>
      <w:r w:rsidRPr="00C3439E">
        <w:t>after the first auction</w:t>
      </w:r>
      <w:r>
        <w:t>.</w:t>
      </w:r>
    </w:p>
    <w:p w:rsidR="00D94A81" w:rsidRDefault="00D94A81" w:rsidP="00EC0C7C">
      <w:pPr>
        <w:pStyle w:val="ListParagraph"/>
        <w:numPr>
          <w:ilvl w:val="1"/>
          <w:numId w:val="14"/>
        </w:numPr>
        <w:spacing w:after="0"/>
        <w:ind w:left="720"/>
      </w:pPr>
      <w:r w:rsidRPr="00C3439E">
        <w:t xml:space="preserve"> </w:t>
      </w:r>
      <w:r>
        <w:t>AEP Ohio will convene workshops aimed at discussing the lessons learned from the first auction and using these to improve the CBP process and documents.</w:t>
      </w:r>
    </w:p>
    <w:p w:rsidR="00D94A81" w:rsidRDefault="00D94A81" w:rsidP="00EC0C7C">
      <w:pPr>
        <w:pStyle w:val="ListParagraph"/>
        <w:numPr>
          <w:ilvl w:val="1"/>
          <w:numId w:val="14"/>
        </w:numPr>
        <w:spacing w:after="0"/>
        <w:ind w:left="720"/>
      </w:pPr>
      <w:r>
        <w:t>AEP Ohio expects to hold two workshops divided among the various themes and documents.</w:t>
      </w:r>
    </w:p>
    <w:p w:rsidR="00D94A81" w:rsidRPr="00C3439E" w:rsidRDefault="00D94A81" w:rsidP="00EC0C7C">
      <w:pPr>
        <w:pStyle w:val="ListParagraph"/>
        <w:numPr>
          <w:ilvl w:val="1"/>
          <w:numId w:val="14"/>
        </w:numPr>
        <w:spacing w:after="0"/>
        <w:ind w:left="720"/>
        <w:rPr>
          <w:rFonts w:cs="Times New Roman"/>
        </w:rPr>
      </w:pPr>
      <w:r>
        <w:t xml:space="preserve">AEP Ohio will solicit two rounds of written comments on the documents and may integrate improvements in time for the second </w:t>
      </w:r>
      <w:r w:rsidR="002F6AE3">
        <w:t xml:space="preserve">energy-only </w:t>
      </w:r>
      <w:r>
        <w:t xml:space="preserve">auction, subject to Commission approval.   </w:t>
      </w:r>
    </w:p>
    <w:p w:rsidR="00D94A81" w:rsidRDefault="00D94A81" w:rsidP="00E92DC2">
      <w:pPr>
        <w:spacing w:after="0"/>
        <w:rPr>
          <w:rFonts w:cs="Times New Roman"/>
        </w:rPr>
      </w:pPr>
    </w:p>
    <w:p w:rsidR="00D94A81" w:rsidRPr="00ED6A4B" w:rsidRDefault="00D94A81" w:rsidP="00ED6A4B">
      <w:pPr>
        <w:spacing w:after="0"/>
        <w:rPr>
          <w:rFonts w:cs="Times New Roman"/>
          <w:b/>
          <w:bCs/>
        </w:rPr>
      </w:pPr>
    </w:p>
    <w:p w:rsidR="00D94A81" w:rsidRDefault="00D94A81">
      <w:pPr>
        <w:spacing w:after="200" w:line="276" w:lineRule="auto"/>
        <w:rPr>
          <w:rFonts w:cs="Times New Roman"/>
          <w:b/>
          <w:bCs/>
        </w:rPr>
      </w:pPr>
    </w:p>
    <w:sectPr w:rsidR="00D94A81" w:rsidSect="002147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8A" w:rsidRDefault="00C4308A" w:rsidP="00391B28">
      <w:pPr>
        <w:spacing w:after="0"/>
        <w:rPr>
          <w:rFonts w:cs="Times New Roman"/>
        </w:rPr>
      </w:pPr>
      <w:r>
        <w:rPr>
          <w:rFonts w:cs="Times New Roman"/>
        </w:rPr>
        <w:separator/>
      </w:r>
    </w:p>
  </w:endnote>
  <w:endnote w:type="continuationSeparator" w:id="0">
    <w:p w:rsidR="00C4308A" w:rsidRDefault="00C4308A" w:rsidP="00391B28">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81" w:rsidRDefault="00D94A81">
    <w:pPr>
      <w:pStyle w:val="Foo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81" w:rsidRDefault="00EC0C7C">
    <w:pPr>
      <w:pStyle w:val="Footer"/>
      <w:jc w:val="right"/>
      <w:rPr>
        <w:rFonts w:cs="Times New Roman"/>
      </w:rPr>
    </w:pPr>
    <w:r>
      <w:fldChar w:fldCharType="begin"/>
    </w:r>
    <w:r>
      <w:instrText xml:space="preserve"> PAGE   \* MERGEFORMAT </w:instrText>
    </w:r>
    <w:r>
      <w:fldChar w:fldCharType="separate"/>
    </w:r>
    <w:r w:rsidR="007448CA">
      <w:rPr>
        <w:noProof/>
      </w:rPr>
      <w:t>1</w:t>
    </w:r>
    <w:r>
      <w:rPr>
        <w:noProof/>
      </w:rPr>
      <w:fldChar w:fldCharType="end"/>
    </w:r>
  </w:p>
  <w:p w:rsidR="00D94A81" w:rsidRPr="00A900C6" w:rsidRDefault="00D94A81" w:rsidP="00A900C6">
    <w:pPr>
      <w:pStyle w:val="Foo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81" w:rsidRDefault="00D94A81">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8A" w:rsidRDefault="00C4308A" w:rsidP="00391B28">
      <w:pPr>
        <w:spacing w:after="0"/>
        <w:rPr>
          <w:rFonts w:cs="Times New Roman"/>
        </w:rPr>
      </w:pPr>
      <w:r>
        <w:rPr>
          <w:rFonts w:cs="Times New Roman"/>
        </w:rPr>
        <w:separator/>
      </w:r>
    </w:p>
  </w:footnote>
  <w:footnote w:type="continuationSeparator" w:id="0">
    <w:p w:rsidR="00C4308A" w:rsidRDefault="00C4308A" w:rsidP="00391B28">
      <w:pPr>
        <w:spacing w:after="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81" w:rsidRDefault="00D94A81">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81" w:rsidRDefault="00D94A81">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81" w:rsidRDefault="00D94A81">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AFE26BA"/>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
    <w:nsid w:val="03C419FD"/>
    <w:multiLevelType w:val="hybridMultilevel"/>
    <w:tmpl w:val="37C62018"/>
    <w:lvl w:ilvl="0" w:tplc="C3868C4E">
      <w:start w:val="1"/>
      <w:numFmt w:val="bullet"/>
      <w:pStyle w:val="TextBoxBullet"/>
      <w:lvlText w:val=""/>
      <w:lvlJc w:val="left"/>
      <w:pPr>
        <w:tabs>
          <w:tab w:val="num" w:pos="648"/>
        </w:tabs>
        <w:ind w:left="648" w:hanging="365"/>
      </w:pPr>
      <w:rPr>
        <w:rFonts w:ascii="Wingdings" w:hAnsi="Wingdings" w:cs="Wingdings" w:hint="default"/>
        <w:sz w:val="26"/>
        <w:szCs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3">
    <w:nsid w:val="0E724E11"/>
    <w:multiLevelType w:val="multilevel"/>
    <w:tmpl w:val="FAB81D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4">
    <w:nsid w:val="1503583B"/>
    <w:multiLevelType w:val="hybridMultilevel"/>
    <w:tmpl w:val="1BBEA294"/>
    <w:lvl w:ilvl="0" w:tplc="0496556A">
      <w:start w:val="1"/>
      <w:numFmt w:val="decimal"/>
      <w:lvlText w:val="%1."/>
      <w:lvlJc w:val="left"/>
      <w:pPr>
        <w:ind w:left="360" w:hanging="360"/>
      </w:pPr>
      <w:rPr>
        <w:rFonts w:hint="default"/>
        <w:b/>
        <w:bCs/>
        <w:i w:val="0"/>
        <w:iCs w:val="0"/>
      </w:rPr>
    </w:lvl>
    <w:lvl w:ilvl="1" w:tplc="A23EBB6C">
      <w:start w:val="1"/>
      <w:numFmt w:val="lowerLetter"/>
      <w:lvlText w:val="%2."/>
      <w:lvlJc w:val="left"/>
      <w:pPr>
        <w:ind w:left="1080" w:hanging="360"/>
      </w:pPr>
      <w:rPr>
        <w:b w:val="0"/>
        <w:bCs w:val="0"/>
        <w:i w:val="0"/>
        <w:iCs w:val="0"/>
      </w:rPr>
    </w:lvl>
    <w:lvl w:ilvl="2" w:tplc="0409000F">
      <w:start w:val="1"/>
      <w:numFmt w:val="decimal"/>
      <w:lvlText w:val="%3."/>
      <w:lvlJc w:val="lef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E833949"/>
    <w:multiLevelType w:val="multilevel"/>
    <w:tmpl w:val="0809001D"/>
    <w:styleLink w:val="1ai"/>
    <w:lvl w:ilvl="0">
      <w:start w:val="1"/>
      <w:numFmt w:val="decimal"/>
      <w:pStyle w:val="ListNumber5"/>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7">
    <w:nsid w:val="27B637B3"/>
    <w:multiLevelType w:val="hybridMultilevel"/>
    <w:tmpl w:val="F502EA64"/>
    <w:lvl w:ilvl="0" w:tplc="04090001">
      <w:start w:val="1"/>
      <w:numFmt w:val="bullet"/>
      <w:lvlText w:val=""/>
      <w:lvlJc w:val="left"/>
      <w:pPr>
        <w:ind w:left="1080" w:hanging="360"/>
      </w:pPr>
      <w:rPr>
        <w:rFonts w:ascii="Symbol" w:hAnsi="Symbol" w:cs="Symbol" w:hint="default"/>
      </w:rPr>
    </w:lvl>
    <w:lvl w:ilvl="1" w:tplc="04090001">
      <w:start w:val="1"/>
      <w:numFmt w:val="bullet"/>
      <w:lvlText w:val=""/>
      <w:lvlJc w:val="left"/>
      <w:pPr>
        <w:ind w:left="1800" w:hanging="360"/>
      </w:pPr>
      <w:rPr>
        <w:rFonts w:ascii="Symbol" w:hAnsi="Symbol" w:cs="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995820"/>
    <w:multiLevelType w:val="hybridMultilevel"/>
    <w:tmpl w:val="F20440D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814DA"/>
    <w:multiLevelType w:val="hybridMultilevel"/>
    <w:tmpl w:val="A712FE7C"/>
    <w:lvl w:ilvl="0" w:tplc="5DDA01DE">
      <w:start w:val="1"/>
      <w:numFmt w:val="decimal"/>
      <w:pStyle w:val="Exhibit"/>
      <w:lvlText w:val="Exhibit %1."/>
      <w:lvlJc w:val="left"/>
      <w:pPr>
        <w:tabs>
          <w:tab w:val="num" w:pos="0"/>
        </w:tabs>
        <w:ind w:left="1440"/>
      </w:pPr>
      <w:rPr>
        <w:rFonts w:hint="default"/>
        <w:b w:val="0"/>
        <w:bCs w:val="0"/>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62246E"/>
    <w:multiLevelType w:val="hybridMultilevel"/>
    <w:tmpl w:val="82D46D6C"/>
    <w:lvl w:ilvl="0" w:tplc="04090001">
      <w:start w:val="1"/>
      <w:numFmt w:val="bullet"/>
      <w:lvlText w:val=""/>
      <w:lvlJc w:val="left"/>
      <w:pPr>
        <w:ind w:left="1080" w:hanging="360"/>
      </w:pPr>
      <w:rPr>
        <w:rFonts w:ascii="Symbol" w:hAnsi="Symbol" w:cs="Symbol" w:hint="default"/>
      </w:rPr>
    </w:lvl>
    <w:lvl w:ilvl="1" w:tplc="04090001">
      <w:start w:val="1"/>
      <w:numFmt w:val="bullet"/>
      <w:lvlText w:val=""/>
      <w:lvlJc w:val="left"/>
      <w:pPr>
        <w:ind w:left="1800" w:hanging="360"/>
      </w:pPr>
      <w:rPr>
        <w:rFonts w:ascii="Symbol" w:hAnsi="Symbol" w:cs="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0E712C"/>
    <w:multiLevelType w:val="hybridMultilevel"/>
    <w:tmpl w:val="810074C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cs="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C129F8"/>
    <w:multiLevelType w:val="multilevel"/>
    <w:tmpl w:val="73D63CC0"/>
    <w:styleLink w:val="HeadingsList"/>
    <w:lvl w:ilvl="0">
      <w:start w:val="1"/>
      <w:numFmt w:val="decimal"/>
      <w:lvlRestart w:val="0"/>
      <w:lvlText w:val="%1."/>
      <w:lvlJc w:val="left"/>
      <w:pPr>
        <w:ind w:left="936" w:hanging="936"/>
      </w:pPr>
      <w:rPr>
        <w:rFonts w:ascii="Cambria" w:eastAsia="PMingLiU" w:hAnsi="Cambria" w:hint="default"/>
        <w:b w:val="0"/>
        <w:bCs w:val="0"/>
        <w:i w:val="0"/>
        <w:iCs w:val="0"/>
        <w:sz w:val="36"/>
        <w:szCs w:val="36"/>
      </w:rPr>
    </w:lvl>
    <w:lvl w:ilvl="1">
      <w:start w:val="1"/>
      <w:numFmt w:val="decimal"/>
      <w:lvlText w:val="%1.%2."/>
      <w:lvlJc w:val="left"/>
      <w:pPr>
        <w:ind w:left="936" w:hanging="936"/>
      </w:pPr>
      <w:rPr>
        <w:rFonts w:ascii="Cambria" w:eastAsia="PMingLiU" w:hAnsi="Cambria" w:hint="default"/>
        <w:b/>
        <w:bCs/>
        <w:i w:val="0"/>
        <w:iCs w:val="0"/>
        <w:sz w:val="28"/>
        <w:szCs w:val="28"/>
      </w:rPr>
    </w:lvl>
    <w:lvl w:ilvl="2">
      <w:start w:val="1"/>
      <w:numFmt w:val="decimal"/>
      <w:lvlText w:val="%1.%2.%3."/>
      <w:lvlJc w:val="left"/>
      <w:pPr>
        <w:ind w:left="936" w:hanging="936"/>
      </w:pPr>
      <w:rPr>
        <w:rFonts w:ascii="Cambria" w:eastAsia="PMingLiU" w:hAnsi="Cambria" w:hint="default"/>
        <w:b/>
        <w:bCs/>
        <w:i/>
        <w:iCs/>
        <w:sz w:val="28"/>
        <w:szCs w:val="28"/>
      </w:rPr>
    </w:lvl>
    <w:lvl w:ilvl="3">
      <w:start w:val="1"/>
      <w:numFmt w:val="decimal"/>
      <w:lvlText w:val="%1.%2.%3.%4."/>
      <w:lvlJc w:val="left"/>
      <w:pPr>
        <w:ind w:left="1296" w:hanging="1296"/>
      </w:pPr>
      <w:rPr>
        <w:rFonts w:ascii="Cambria" w:eastAsia="PMingLiU" w:hAnsi="Cambria" w:hint="default"/>
        <w:b w:val="0"/>
        <w:bCs w:val="0"/>
        <w:i/>
        <w:iCs/>
        <w:sz w:val="28"/>
        <w:szCs w:val="28"/>
      </w:rPr>
    </w:lvl>
    <w:lvl w:ilvl="4">
      <w:start w:val="1"/>
      <w:numFmt w:val="decimal"/>
      <w:lvlText w:val="%1.%2.%3.%4.%5."/>
      <w:lvlJc w:val="left"/>
      <w:pPr>
        <w:ind w:left="1296" w:hanging="1296"/>
      </w:pPr>
      <w:rPr>
        <w:rFonts w:ascii="Cambria" w:eastAsia="PMingLiU" w:hAnsi="Cambria"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13">
    <w:nsid w:val="4B013370"/>
    <w:multiLevelType w:val="hybridMultilevel"/>
    <w:tmpl w:val="16925DD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8043D"/>
    <w:multiLevelType w:val="multilevel"/>
    <w:tmpl w:val="CFC40D72"/>
    <w:styleLink w:val="AppendicesList"/>
    <w:lvl w:ilvl="0">
      <w:start w:val="1"/>
      <w:numFmt w:val="upperLetter"/>
      <w:lvlRestart w:val="0"/>
      <w:lvlText w:val="Appendix %1."/>
      <w:lvlJc w:val="left"/>
      <w:pPr>
        <w:tabs>
          <w:tab w:val="num" w:pos="936"/>
        </w:tabs>
        <w:ind w:left="936" w:hanging="936"/>
      </w:pPr>
      <w:rPr>
        <w:rFonts w:ascii="Cambria" w:eastAsia="PMingLiU" w:hAnsi="Cambria" w:hint="default"/>
        <w:b w:val="0"/>
        <w:bCs w:val="0"/>
        <w:i w:val="0"/>
        <w:iCs w:val="0"/>
        <w:sz w:val="36"/>
        <w:szCs w:val="36"/>
      </w:rPr>
    </w:lvl>
    <w:lvl w:ilvl="1">
      <w:start w:val="1"/>
      <w:numFmt w:val="decimal"/>
      <w:lvlText w:val="%1.%2."/>
      <w:lvlJc w:val="left"/>
      <w:pPr>
        <w:tabs>
          <w:tab w:val="num" w:pos="936"/>
        </w:tabs>
        <w:ind w:left="936" w:hanging="936"/>
      </w:pPr>
      <w:rPr>
        <w:rFonts w:ascii="Cambria" w:eastAsia="PMingLiU" w:hAnsi="Cambria" w:hint="default"/>
        <w:b/>
        <w:bCs/>
        <w:i w:val="0"/>
        <w:iCs w:val="0"/>
        <w:sz w:val="28"/>
        <w:szCs w:val="28"/>
      </w:rPr>
    </w:lvl>
    <w:lvl w:ilvl="2">
      <w:start w:val="1"/>
      <w:numFmt w:val="decimal"/>
      <w:lvlText w:val="%1.%2.%3."/>
      <w:lvlJc w:val="left"/>
      <w:pPr>
        <w:tabs>
          <w:tab w:val="num" w:pos="936"/>
        </w:tabs>
        <w:ind w:left="936" w:hanging="936"/>
      </w:pPr>
      <w:rPr>
        <w:rFonts w:ascii="Cambria" w:eastAsia="PMingLiU" w:hAnsi="Cambria" w:hint="default"/>
        <w:b/>
        <w:bCs/>
        <w:i/>
        <w:iCs/>
        <w:sz w:val="28"/>
        <w:szCs w:val="28"/>
      </w:rPr>
    </w:lvl>
    <w:lvl w:ilvl="3">
      <w:start w:val="1"/>
      <w:numFmt w:val="decimal"/>
      <w:lvlText w:val="%1.%2.%3.%4."/>
      <w:lvlJc w:val="left"/>
      <w:pPr>
        <w:tabs>
          <w:tab w:val="num" w:pos="1296"/>
        </w:tabs>
        <w:ind w:left="1296" w:hanging="1296"/>
      </w:pPr>
      <w:rPr>
        <w:rFonts w:ascii="Cambria" w:eastAsia="PMingLiU" w:hAnsi="Cambria" w:hint="default"/>
        <w:b w:val="0"/>
        <w:bCs w:val="0"/>
        <w:i/>
        <w:iCs/>
        <w:sz w:val="28"/>
        <w:szCs w:val="28"/>
      </w:rPr>
    </w:lvl>
    <w:lvl w:ilvl="4">
      <w:start w:val="1"/>
      <w:numFmt w:val="decimal"/>
      <w:lvlText w:val="%1.%2.%3.%4.%5."/>
      <w:lvlJc w:val="left"/>
      <w:pPr>
        <w:tabs>
          <w:tab w:val="num" w:pos="1296"/>
        </w:tabs>
        <w:ind w:left="1296" w:hanging="1296"/>
      </w:pPr>
      <w:rPr>
        <w:rFonts w:ascii="Cambria" w:eastAsia="PMingLiU" w:hAnsi="Cambria" w:hint="default"/>
        <w:b w:val="0"/>
        <w:bCs w:val="0"/>
        <w:i/>
        <w:iCs/>
        <w:sz w:val="24"/>
        <w:szCs w:val="24"/>
      </w:rPr>
    </w:lvl>
    <w:lvl w:ilvl="5">
      <w:start w:val="1"/>
      <w:numFmt w:val="decimal"/>
      <w:lvlText w:val="%1.%2.%3.%4.%5.%6"/>
      <w:lvlJc w:val="left"/>
      <w:pPr>
        <w:tabs>
          <w:tab w:val="num" w:pos="2448"/>
        </w:tabs>
      </w:pPr>
      <w:rPr>
        <w:rFonts w:hint="default"/>
      </w:rPr>
    </w:lvl>
    <w:lvl w:ilvl="6">
      <w:start w:val="1"/>
      <w:numFmt w:val="decimal"/>
      <w:lvlText w:val="%1.%2.%3.%4.%5.%6.%7."/>
      <w:lvlJc w:val="left"/>
      <w:pPr>
        <w:tabs>
          <w:tab w:val="num" w:pos="2808"/>
        </w:tabs>
      </w:pPr>
      <w:rPr>
        <w:rFonts w:hint="default"/>
      </w:rPr>
    </w:lvl>
    <w:lvl w:ilvl="7">
      <w:start w:val="1"/>
      <w:numFmt w:val="decimal"/>
      <w:lvlText w:val="%1.%2.%3.%4.%5.%6.%7.%8."/>
      <w:lvlJc w:val="left"/>
      <w:pPr>
        <w:tabs>
          <w:tab w:val="num" w:pos="3168"/>
        </w:tabs>
      </w:pPr>
      <w:rPr>
        <w:rFonts w:hint="default"/>
      </w:rPr>
    </w:lvl>
    <w:lvl w:ilvl="8">
      <w:start w:val="1"/>
      <w:numFmt w:val="decimal"/>
      <w:lvlText w:val="%1.%2.%3.%4.%5.%6.%7.%8.%9."/>
      <w:lvlJc w:val="left"/>
      <w:pPr>
        <w:tabs>
          <w:tab w:val="num" w:pos="3528"/>
        </w:tabs>
      </w:pPr>
      <w:rPr>
        <w:rFonts w:hint="default"/>
      </w:rPr>
    </w:lvl>
  </w:abstractNum>
  <w:abstractNum w:abstractNumId="15">
    <w:nsid w:val="5E936F4A"/>
    <w:multiLevelType w:val="hybridMultilevel"/>
    <w:tmpl w:val="F20440D8"/>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cs="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CD477A"/>
    <w:multiLevelType w:val="hybridMultilevel"/>
    <w:tmpl w:val="96E09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207D8"/>
    <w:multiLevelType w:val="multilevel"/>
    <w:tmpl w:val="0809001F"/>
    <w:styleLink w:val="111111"/>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9">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0">
    <w:nsid w:val="6FA56332"/>
    <w:multiLevelType w:val="hybridMultilevel"/>
    <w:tmpl w:val="81BA21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542D33"/>
    <w:multiLevelType w:val="hybridMultilevel"/>
    <w:tmpl w:val="810074C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1A3CD9"/>
    <w:multiLevelType w:val="multilevel"/>
    <w:tmpl w:val="9E828224"/>
    <w:styleLink w:val="ArticleSection"/>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7"/>
  </w:num>
  <w:num w:numId="3">
    <w:abstractNumId w:val="5"/>
  </w:num>
  <w:num w:numId="4">
    <w:abstractNumId w:val="14"/>
  </w:num>
  <w:num w:numId="5">
    <w:abstractNumId w:val="22"/>
  </w:num>
  <w:num w:numId="6">
    <w:abstractNumId w:val="9"/>
  </w:num>
  <w:num w:numId="7">
    <w:abstractNumId w:val="18"/>
  </w:num>
  <w:num w:numId="8">
    <w:abstractNumId w:val="6"/>
  </w:num>
  <w:num w:numId="9">
    <w:abstractNumId w:val="12"/>
  </w:num>
  <w:num w:numId="10">
    <w:abstractNumId w:val="3"/>
  </w:num>
  <w:num w:numId="11">
    <w:abstractNumId w:val="2"/>
  </w:num>
  <w:num w:numId="12">
    <w:abstractNumId w:val="19"/>
  </w:num>
  <w:num w:numId="13">
    <w:abstractNumId w:val="1"/>
  </w:num>
  <w:num w:numId="14">
    <w:abstractNumId w:val="4"/>
  </w:num>
  <w:num w:numId="15">
    <w:abstractNumId w:val="16"/>
  </w:num>
  <w:num w:numId="16">
    <w:abstractNumId w:val="20"/>
  </w:num>
  <w:num w:numId="17">
    <w:abstractNumId w:val="15"/>
  </w:num>
  <w:num w:numId="18">
    <w:abstractNumId w:val="11"/>
  </w:num>
  <w:num w:numId="19">
    <w:abstractNumId w:val="8"/>
  </w:num>
  <w:num w:numId="20">
    <w:abstractNumId w:val="21"/>
  </w:num>
  <w:num w:numId="21">
    <w:abstractNumId w:val="13"/>
  </w:num>
  <w:num w:numId="22">
    <w:abstractNumId w:val="10"/>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doNotTrackMove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2A7"/>
    <w:rsid w:val="000062D4"/>
    <w:rsid w:val="0002257B"/>
    <w:rsid w:val="000330B6"/>
    <w:rsid w:val="00033611"/>
    <w:rsid w:val="00065314"/>
    <w:rsid w:val="0007237F"/>
    <w:rsid w:val="0008005F"/>
    <w:rsid w:val="000A2DD2"/>
    <w:rsid w:val="000A6A54"/>
    <w:rsid w:val="000B2C89"/>
    <w:rsid w:val="000C6B67"/>
    <w:rsid w:val="000C7BF6"/>
    <w:rsid w:val="000D25CB"/>
    <w:rsid w:val="000D31BB"/>
    <w:rsid w:val="000E20AD"/>
    <w:rsid w:val="000F473B"/>
    <w:rsid w:val="0010443B"/>
    <w:rsid w:val="00107154"/>
    <w:rsid w:val="00111BDC"/>
    <w:rsid w:val="00120045"/>
    <w:rsid w:val="00135376"/>
    <w:rsid w:val="00137159"/>
    <w:rsid w:val="00140A56"/>
    <w:rsid w:val="001516C1"/>
    <w:rsid w:val="00170D03"/>
    <w:rsid w:val="00176E73"/>
    <w:rsid w:val="00181861"/>
    <w:rsid w:val="00184BE5"/>
    <w:rsid w:val="001864B5"/>
    <w:rsid w:val="001B37EB"/>
    <w:rsid w:val="001B5A88"/>
    <w:rsid w:val="001B795E"/>
    <w:rsid w:val="001F0488"/>
    <w:rsid w:val="002147D9"/>
    <w:rsid w:val="00216557"/>
    <w:rsid w:val="00223604"/>
    <w:rsid w:val="0022661C"/>
    <w:rsid w:val="00236377"/>
    <w:rsid w:val="00284106"/>
    <w:rsid w:val="00286B69"/>
    <w:rsid w:val="00293351"/>
    <w:rsid w:val="00296701"/>
    <w:rsid w:val="002A37C0"/>
    <w:rsid w:val="002B7966"/>
    <w:rsid w:val="002D1EAD"/>
    <w:rsid w:val="002E7433"/>
    <w:rsid w:val="002F4F17"/>
    <w:rsid w:val="002F57DC"/>
    <w:rsid w:val="002F6AE3"/>
    <w:rsid w:val="00300D8D"/>
    <w:rsid w:val="00303A9A"/>
    <w:rsid w:val="00315C7F"/>
    <w:rsid w:val="003233FA"/>
    <w:rsid w:val="00323621"/>
    <w:rsid w:val="00323CAF"/>
    <w:rsid w:val="003266B3"/>
    <w:rsid w:val="00326E5F"/>
    <w:rsid w:val="00327C5F"/>
    <w:rsid w:val="0034623A"/>
    <w:rsid w:val="00381CFE"/>
    <w:rsid w:val="00391B28"/>
    <w:rsid w:val="0039439F"/>
    <w:rsid w:val="003A11C4"/>
    <w:rsid w:val="003B050F"/>
    <w:rsid w:val="003B786C"/>
    <w:rsid w:val="003C4956"/>
    <w:rsid w:val="003D0B8E"/>
    <w:rsid w:val="003D32D3"/>
    <w:rsid w:val="003D466F"/>
    <w:rsid w:val="003F6F5B"/>
    <w:rsid w:val="00403A24"/>
    <w:rsid w:val="00407B36"/>
    <w:rsid w:val="00410353"/>
    <w:rsid w:val="00411AA2"/>
    <w:rsid w:val="00423B21"/>
    <w:rsid w:val="004259FA"/>
    <w:rsid w:val="00426347"/>
    <w:rsid w:val="00430BEB"/>
    <w:rsid w:val="00452449"/>
    <w:rsid w:val="004524E7"/>
    <w:rsid w:val="0046104B"/>
    <w:rsid w:val="00464D12"/>
    <w:rsid w:val="004708AE"/>
    <w:rsid w:val="0047322B"/>
    <w:rsid w:val="0048599E"/>
    <w:rsid w:val="004B25AA"/>
    <w:rsid w:val="004B434E"/>
    <w:rsid w:val="004D1CBF"/>
    <w:rsid w:val="004E1ACF"/>
    <w:rsid w:val="004F06FF"/>
    <w:rsid w:val="004F1F97"/>
    <w:rsid w:val="005039AF"/>
    <w:rsid w:val="00525A75"/>
    <w:rsid w:val="00544992"/>
    <w:rsid w:val="00556BDC"/>
    <w:rsid w:val="00563DAE"/>
    <w:rsid w:val="005671F7"/>
    <w:rsid w:val="00575BF4"/>
    <w:rsid w:val="00581CA0"/>
    <w:rsid w:val="00586F4C"/>
    <w:rsid w:val="00587EBB"/>
    <w:rsid w:val="005A0EE9"/>
    <w:rsid w:val="005A35DA"/>
    <w:rsid w:val="005C30C5"/>
    <w:rsid w:val="005D4972"/>
    <w:rsid w:val="005E20C6"/>
    <w:rsid w:val="005E2F98"/>
    <w:rsid w:val="005E776C"/>
    <w:rsid w:val="005F4A2F"/>
    <w:rsid w:val="006137C5"/>
    <w:rsid w:val="006144C8"/>
    <w:rsid w:val="00626F71"/>
    <w:rsid w:val="006352AA"/>
    <w:rsid w:val="00636A71"/>
    <w:rsid w:val="00661E23"/>
    <w:rsid w:val="006771CC"/>
    <w:rsid w:val="006842A7"/>
    <w:rsid w:val="00684518"/>
    <w:rsid w:val="00691622"/>
    <w:rsid w:val="00696064"/>
    <w:rsid w:val="006A0FCB"/>
    <w:rsid w:val="006A6966"/>
    <w:rsid w:val="006B2369"/>
    <w:rsid w:val="006C0B68"/>
    <w:rsid w:val="006D24CA"/>
    <w:rsid w:val="006D3270"/>
    <w:rsid w:val="006F2865"/>
    <w:rsid w:val="007072B5"/>
    <w:rsid w:val="00710784"/>
    <w:rsid w:val="00713A8C"/>
    <w:rsid w:val="00724325"/>
    <w:rsid w:val="00737D2E"/>
    <w:rsid w:val="007448CA"/>
    <w:rsid w:val="007621E0"/>
    <w:rsid w:val="00774C7D"/>
    <w:rsid w:val="00776FA9"/>
    <w:rsid w:val="00777164"/>
    <w:rsid w:val="007858D4"/>
    <w:rsid w:val="007916E5"/>
    <w:rsid w:val="007A5729"/>
    <w:rsid w:val="007B0BF1"/>
    <w:rsid w:val="007C0325"/>
    <w:rsid w:val="007C4788"/>
    <w:rsid w:val="007C6400"/>
    <w:rsid w:val="007D58AB"/>
    <w:rsid w:val="007E6291"/>
    <w:rsid w:val="00806A14"/>
    <w:rsid w:val="008245DA"/>
    <w:rsid w:val="00833F06"/>
    <w:rsid w:val="00836ACB"/>
    <w:rsid w:val="00860CB5"/>
    <w:rsid w:val="0086195F"/>
    <w:rsid w:val="00862E9B"/>
    <w:rsid w:val="0086691E"/>
    <w:rsid w:val="00882418"/>
    <w:rsid w:val="0088525A"/>
    <w:rsid w:val="008865B7"/>
    <w:rsid w:val="0089411B"/>
    <w:rsid w:val="0089658C"/>
    <w:rsid w:val="008A29BB"/>
    <w:rsid w:val="008C0ECB"/>
    <w:rsid w:val="008C61FB"/>
    <w:rsid w:val="008D4ABA"/>
    <w:rsid w:val="009065A6"/>
    <w:rsid w:val="00906A07"/>
    <w:rsid w:val="00916763"/>
    <w:rsid w:val="0092498D"/>
    <w:rsid w:val="009249BB"/>
    <w:rsid w:val="0094704D"/>
    <w:rsid w:val="00960794"/>
    <w:rsid w:val="00962626"/>
    <w:rsid w:val="009659B5"/>
    <w:rsid w:val="00970CAE"/>
    <w:rsid w:val="009844C3"/>
    <w:rsid w:val="00986761"/>
    <w:rsid w:val="009A1F0B"/>
    <w:rsid w:val="009B7042"/>
    <w:rsid w:val="009C4679"/>
    <w:rsid w:val="009C6882"/>
    <w:rsid w:val="009C7DB0"/>
    <w:rsid w:val="009D1C84"/>
    <w:rsid w:val="009E5D85"/>
    <w:rsid w:val="009F2DFA"/>
    <w:rsid w:val="00A0232F"/>
    <w:rsid w:val="00A16DA3"/>
    <w:rsid w:val="00A203CD"/>
    <w:rsid w:val="00A32817"/>
    <w:rsid w:val="00A42C0E"/>
    <w:rsid w:val="00A478C7"/>
    <w:rsid w:val="00A50C15"/>
    <w:rsid w:val="00A5385C"/>
    <w:rsid w:val="00A555BB"/>
    <w:rsid w:val="00A624D8"/>
    <w:rsid w:val="00A62DD2"/>
    <w:rsid w:val="00A641BC"/>
    <w:rsid w:val="00A7056F"/>
    <w:rsid w:val="00A900C6"/>
    <w:rsid w:val="00A94AF3"/>
    <w:rsid w:val="00A95D57"/>
    <w:rsid w:val="00AB0EC2"/>
    <w:rsid w:val="00AB23C8"/>
    <w:rsid w:val="00AC7A6F"/>
    <w:rsid w:val="00AE3715"/>
    <w:rsid w:val="00AF31B3"/>
    <w:rsid w:val="00AF4793"/>
    <w:rsid w:val="00AF7F25"/>
    <w:rsid w:val="00B1092C"/>
    <w:rsid w:val="00B10BBD"/>
    <w:rsid w:val="00B10E01"/>
    <w:rsid w:val="00B11310"/>
    <w:rsid w:val="00B123C1"/>
    <w:rsid w:val="00B166D8"/>
    <w:rsid w:val="00B27F49"/>
    <w:rsid w:val="00B310D9"/>
    <w:rsid w:val="00B50B9E"/>
    <w:rsid w:val="00B70B81"/>
    <w:rsid w:val="00B71A8F"/>
    <w:rsid w:val="00B77957"/>
    <w:rsid w:val="00B82DC7"/>
    <w:rsid w:val="00B83261"/>
    <w:rsid w:val="00B85C34"/>
    <w:rsid w:val="00B86116"/>
    <w:rsid w:val="00B93CA5"/>
    <w:rsid w:val="00BA5490"/>
    <w:rsid w:val="00BA695F"/>
    <w:rsid w:val="00BB726F"/>
    <w:rsid w:val="00BC56B1"/>
    <w:rsid w:val="00BE34AE"/>
    <w:rsid w:val="00BE5D37"/>
    <w:rsid w:val="00BF7A97"/>
    <w:rsid w:val="00BF7C67"/>
    <w:rsid w:val="00C05BCB"/>
    <w:rsid w:val="00C11447"/>
    <w:rsid w:val="00C124B1"/>
    <w:rsid w:val="00C13AB8"/>
    <w:rsid w:val="00C13DB9"/>
    <w:rsid w:val="00C17846"/>
    <w:rsid w:val="00C243B4"/>
    <w:rsid w:val="00C271A2"/>
    <w:rsid w:val="00C3439E"/>
    <w:rsid w:val="00C34EFE"/>
    <w:rsid w:val="00C36B91"/>
    <w:rsid w:val="00C375C8"/>
    <w:rsid w:val="00C4308A"/>
    <w:rsid w:val="00C45915"/>
    <w:rsid w:val="00C567B8"/>
    <w:rsid w:val="00C666E1"/>
    <w:rsid w:val="00C6743E"/>
    <w:rsid w:val="00C83C85"/>
    <w:rsid w:val="00CA6C0D"/>
    <w:rsid w:val="00CB03BA"/>
    <w:rsid w:val="00CC1F68"/>
    <w:rsid w:val="00CC43B2"/>
    <w:rsid w:val="00CE0BC2"/>
    <w:rsid w:val="00CE2177"/>
    <w:rsid w:val="00CF783F"/>
    <w:rsid w:val="00D02116"/>
    <w:rsid w:val="00D03398"/>
    <w:rsid w:val="00D06E2D"/>
    <w:rsid w:val="00D113D5"/>
    <w:rsid w:val="00D179CB"/>
    <w:rsid w:val="00D241E6"/>
    <w:rsid w:val="00D52172"/>
    <w:rsid w:val="00D5598F"/>
    <w:rsid w:val="00D71742"/>
    <w:rsid w:val="00D74305"/>
    <w:rsid w:val="00D86B6D"/>
    <w:rsid w:val="00D94A81"/>
    <w:rsid w:val="00DA558A"/>
    <w:rsid w:val="00DA7231"/>
    <w:rsid w:val="00DB4176"/>
    <w:rsid w:val="00DE4F61"/>
    <w:rsid w:val="00DE5744"/>
    <w:rsid w:val="00DF26D3"/>
    <w:rsid w:val="00DF6084"/>
    <w:rsid w:val="00E04DFE"/>
    <w:rsid w:val="00E12206"/>
    <w:rsid w:val="00E23D7B"/>
    <w:rsid w:val="00E31EDA"/>
    <w:rsid w:val="00E51C18"/>
    <w:rsid w:val="00E547D8"/>
    <w:rsid w:val="00E56D96"/>
    <w:rsid w:val="00E60982"/>
    <w:rsid w:val="00E613CE"/>
    <w:rsid w:val="00E731EB"/>
    <w:rsid w:val="00E8732E"/>
    <w:rsid w:val="00E92DC2"/>
    <w:rsid w:val="00E94DAA"/>
    <w:rsid w:val="00EA5DD2"/>
    <w:rsid w:val="00EA6A2E"/>
    <w:rsid w:val="00EB349B"/>
    <w:rsid w:val="00EB5838"/>
    <w:rsid w:val="00EC0C7C"/>
    <w:rsid w:val="00EC6C4B"/>
    <w:rsid w:val="00ED6A4B"/>
    <w:rsid w:val="00EE69CE"/>
    <w:rsid w:val="00F12D89"/>
    <w:rsid w:val="00F158D8"/>
    <w:rsid w:val="00F30F97"/>
    <w:rsid w:val="00F379AF"/>
    <w:rsid w:val="00F37E2A"/>
    <w:rsid w:val="00F40DD7"/>
    <w:rsid w:val="00F4383B"/>
    <w:rsid w:val="00F45060"/>
    <w:rsid w:val="00F527B1"/>
    <w:rsid w:val="00F62C83"/>
    <w:rsid w:val="00F73EEB"/>
    <w:rsid w:val="00F74E70"/>
    <w:rsid w:val="00F859AA"/>
    <w:rsid w:val="00F92E76"/>
    <w:rsid w:val="00F9497A"/>
    <w:rsid w:val="00F95D3C"/>
    <w:rsid w:val="00F97D6D"/>
    <w:rsid w:val="00FA0907"/>
    <w:rsid w:val="00FA5303"/>
    <w:rsid w:val="00FA6B42"/>
    <w:rsid w:val="00FB4CF9"/>
    <w:rsid w:val="00FB5E00"/>
    <w:rsid w:val="00FE076B"/>
    <w:rsid w:val="00FF5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Grid" w:semiHidden="0"/>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semiHidden="0" w:qFormat="1"/>
  </w:latentStyles>
  <w:style w:type="paragraph" w:default="1" w:styleId="Normal">
    <w:name w:val="Normal"/>
    <w:qFormat/>
    <w:rsid w:val="00E92DC2"/>
    <w:pPr>
      <w:spacing w:after="240"/>
    </w:pPr>
    <w:rPr>
      <w:rFonts w:cs="Calibri"/>
      <w:sz w:val="24"/>
      <w:szCs w:val="24"/>
      <w:lang w:val="en-GB" w:eastAsia="ja-JP"/>
    </w:rPr>
  </w:style>
  <w:style w:type="paragraph" w:styleId="Heading1">
    <w:name w:val="heading 1"/>
    <w:basedOn w:val="Normal"/>
    <w:next w:val="Normal"/>
    <w:link w:val="Heading1Char"/>
    <w:uiPriority w:val="99"/>
    <w:qFormat/>
    <w:rsid w:val="00836ACB"/>
    <w:pPr>
      <w:keepNext/>
      <w:numPr>
        <w:numId w:val="7"/>
      </w:numPr>
      <w:tabs>
        <w:tab w:val="num" w:pos="360"/>
      </w:tabs>
      <w:ind w:left="0" w:firstLine="0"/>
      <w:outlineLvl w:val="0"/>
    </w:pPr>
    <w:rPr>
      <w:rFonts w:ascii="Cambria" w:hAnsi="Cambria" w:cs="Cambria"/>
      <w:noProof/>
      <w:sz w:val="32"/>
      <w:szCs w:val="32"/>
    </w:rPr>
  </w:style>
  <w:style w:type="paragraph" w:styleId="Heading2">
    <w:name w:val="heading 2"/>
    <w:basedOn w:val="Heading1"/>
    <w:next w:val="BodyText"/>
    <w:link w:val="Heading2Char"/>
    <w:uiPriority w:val="99"/>
    <w:qFormat/>
    <w:rsid w:val="00836ACB"/>
    <w:pPr>
      <w:numPr>
        <w:ilvl w:val="1"/>
      </w:numPr>
      <w:tabs>
        <w:tab w:val="num" w:pos="720"/>
      </w:tabs>
      <w:outlineLvl w:val="1"/>
    </w:pPr>
    <w:rPr>
      <w:b/>
      <w:bCs/>
      <w:sz w:val="28"/>
      <w:szCs w:val="28"/>
    </w:rPr>
  </w:style>
  <w:style w:type="paragraph" w:styleId="Heading3">
    <w:name w:val="heading 3"/>
    <w:basedOn w:val="Heading2"/>
    <w:next w:val="BodyText"/>
    <w:link w:val="Heading3Char"/>
    <w:uiPriority w:val="99"/>
    <w:qFormat/>
    <w:rsid w:val="00836ACB"/>
    <w:pPr>
      <w:numPr>
        <w:ilvl w:val="2"/>
      </w:numPr>
      <w:tabs>
        <w:tab w:val="num" w:pos="720"/>
      </w:tabs>
      <w:ind w:left="360" w:hanging="360"/>
      <w:outlineLvl w:val="2"/>
    </w:pPr>
    <w:rPr>
      <w:i/>
      <w:iCs/>
    </w:rPr>
  </w:style>
  <w:style w:type="paragraph" w:styleId="Heading4">
    <w:name w:val="heading 4"/>
    <w:basedOn w:val="Heading3"/>
    <w:next w:val="BodyText"/>
    <w:link w:val="Heading4Char"/>
    <w:uiPriority w:val="99"/>
    <w:qFormat/>
    <w:rsid w:val="00836ACB"/>
    <w:pPr>
      <w:numPr>
        <w:ilvl w:val="3"/>
      </w:numPr>
      <w:tabs>
        <w:tab w:val="num" w:pos="720"/>
      </w:tabs>
      <w:outlineLvl w:val="3"/>
    </w:pPr>
    <w:rPr>
      <w:b w:val="0"/>
      <w:bCs w:val="0"/>
    </w:rPr>
  </w:style>
  <w:style w:type="paragraph" w:styleId="Heading5">
    <w:name w:val="heading 5"/>
    <w:basedOn w:val="BodyText"/>
    <w:next w:val="Normal"/>
    <w:link w:val="Heading5Char"/>
    <w:uiPriority w:val="99"/>
    <w:qFormat/>
    <w:rsid w:val="00836ACB"/>
    <w:pPr>
      <w:numPr>
        <w:ilvl w:val="4"/>
        <w:numId w:val="7"/>
      </w:numPr>
      <w:outlineLvl w:val="4"/>
    </w:pPr>
    <w:rPr>
      <w:rFonts w:ascii="Cambria" w:hAnsi="Cambria" w:cs="Cambria"/>
      <w:i/>
      <w:iCs/>
    </w:rPr>
  </w:style>
  <w:style w:type="paragraph" w:styleId="Heading6">
    <w:name w:val="heading 6"/>
    <w:basedOn w:val="Normal"/>
    <w:next w:val="BodyText"/>
    <w:link w:val="Heading6Char"/>
    <w:uiPriority w:val="99"/>
    <w:qFormat/>
    <w:rsid w:val="00836ACB"/>
    <w:pPr>
      <w:keepNext/>
      <w:keepLines/>
      <w:numPr>
        <w:ilvl w:val="5"/>
        <w:numId w:val="7"/>
      </w:numPr>
      <w:spacing w:before="200" w:after="0"/>
      <w:outlineLvl w:val="5"/>
    </w:pPr>
    <w:rPr>
      <w:rFonts w:ascii="Cambria" w:hAnsi="Cambria" w:cs="Cambria"/>
    </w:rPr>
  </w:style>
  <w:style w:type="paragraph" w:styleId="Heading7">
    <w:name w:val="heading 7"/>
    <w:basedOn w:val="Normal"/>
    <w:next w:val="BodyText"/>
    <w:link w:val="Heading7Char"/>
    <w:uiPriority w:val="99"/>
    <w:qFormat/>
    <w:rsid w:val="00836ACB"/>
    <w:pPr>
      <w:keepNext/>
      <w:keepLines/>
      <w:numPr>
        <w:ilvl w:val="6"/>
        <w:numId w:val="7"/>
      </w:numPr>
      <w:spacing w:before="200" w:after="0"/>
      <w:outlineLvl w:val="6"/>
    </w:pPr>
    <w:rPr>
      <w:rFonts w:ascii="Cambria" w:hAnsi="Cambria" w:cs="Cambria"/>
    </w:rPr>
  </w:style>
  <w:style w:type="paragraph" w:styleId="Heading8">
    <w:name w:val="heading 8"/>
    <w:basedOn w:val="Normal"/>
    <w:next w:val="BodyText"/>
    <w:link w:val="Heading8Char"/>
    <w:uiPriority w:val="99"/>
    <w:qFormat/>
    <w:rsid w:val="00836ACB"/>
    <w:pPr>
      <w:keepNext/>
      <w:keepLines/>
      <w:numPr>
        <w:ilvl w:val="7"/>
        <w:numId w:val="7"/>
      </w:numPr>
      <w:spacing w:before="200" w:after="0"/>
      <w:outlineLvl w:val="7"/>
    </w:pPr>
    <w:rPr>
      <w:rFonts w:ascii="Cambria" w:hAnsi="Cambria" w:cs="Cambria"/>
      <w:sz w:val="20"/>
      <w:szCs w:val="20"/>
    </w:rPr>
  </w:style>
  <w:style w:type="paragraph" w:styleId="Heading9">
    <w:name w:val="heading 9"/>
    <w:basedOn w:val="Normal"/>
    <w:next w:val="BodyText"/>
    <w:link w:val="Heading9Char"/>
    <w:uiPriority w:val="99"/>
    <w:qFormat/>
    <w:rsid w:val="00836ACB"/>
    <w:pPr>
      <w:keepNext/>
      <w:keepLines/>
      <w:numPr>
        <w:ilvl w:val="8"/>
        <w:numId w:val="7"/>
      </w:numPr>
      <w:spacing w:before="200" w:after="0"/>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36ACB"/>
    <w:rPr>
      <w:rFonts w:ascii="Cambria" w:hAnsi="Cambria" w:cs="Cambria"/>
      <w:noProof/>
      <w:sz w:val="32"/>
      <w:szCs w:val="32"/>
      <w:lang w:val="en-GB" w:eastAsia="ja-JP"/>
    </w:rPr>
  </w:style>
  <w:style w:type="character" w:customStyle="1" w:styleId="Heading2Char">
    <w:name w:val="Heading 2 Char"/>
    <w:link w:val="Heading2"/>
    <w:uiPriority w:val="99"/>
    <w:rsid w:val="00836ACB"/>
    <w:rPr>
      <w:rFonts w:ascii="Cambria" w:hAnsi="Cambria" w:cs="Cambria"/>
      <w:b/>
      <w:bCs/>
      <w:noProof/>
      <w:sz w:val="28"/>
      <w:szCs w:val="28"/>
      <w:lang w:val="en-GB" w:eastAsia="ja-JP"/>
    </w:rPr>
  </w:style>
  <w:style w:type="character" w:customStyle="1" w:styleId="Heading3Char">
    <w:name w:val="Heading 3 Char"/>
    <w:link w:val="Heading3"/>
    <w:uiPriority w:val="99"/>
    <w:rsid w:val="00836ACB"/>
    <w:rPr>
      <w:rFonts w:ascii="Cambria" w:hAnsi="Cambria" w:cs="Cambria"/>
      <w:b/>
      <w:bCs/>
      <w:i/>
      <w:iCs/>
      <w:noProof/>
      <w:sz w:val="28"/>
      <w:szCs w:val="28"/>
      <w:lang w:val="en-GB" w:eastAsia="ja-JP"/>
    </w:rPr>
  </w:style>
  <w:style w:type="character" w:customStyle="1" w:styleId="Heading4Char">
    <w:name w:val="Heading 4 Char"/>
    <w:link w:val="Heading4"/>
    <w:uiPriority w:val="99"/>
    <w:rsid w:val="00836ACB"/>
    <w:rPr>
      <w:rFonts w:ascii="Cambria" w:hAnsi="Cambria" w:cs="Cambria"/>
      <w:i/>
      <w:iCs/>
      <w:noProof/>
      <w:sz w:val="28"/>
      <w:szCs w:val="28"/>
      <w:lang w:val="en-GB" w:eastAsia="ja-JP"/>
    </w:rPr>
  </w:style>
  <w:style w:type="character" w:customStyle="1" w:styleId="Heading5Char">
    <w:name w:val="Heading 5 Char"/>
    <w:link w:val="Heading5"/>
    <w:uiPriority w:val="99"/>
    <w:rsid w:val="00836ACB"/>
    <w:rPr>
      <w:rFonts w:ascii="Cambria" w:hAnsi="Cambria" w:cs="Cambria"/>
      <w:i/>
      <w:iCs/>
      <w:sz w:val="24"/>
      <w:szCs w:val="24"/>
      <w:lang w:val="en-GB" w:eastAsia="ja-JP"/>
    </w:rPr>
  </w:style>
  <w:style w:type="character" w:customStyle="1" w:styleId="Heading6Char">
    <w:name w:val="Heading 6 Char"/>
    <w:link w:val="Heading6"/>
    <w:uiPriority w:val="99"/>
    <w:rsid w:val="00836ACB"/>
    <w:rPr>
      <w:rFonts w:ascii="Cambria" w:hAnsi="Cambria" w:cs="Cambria"/>
      <w:sz w:val="24"/>
      <w:szCs w:val="24"/>
      <w:lang w:val="en-GB" w:eastAsia="ja-JP"/>
    </w:rPr>
  </w:style>
  <w:style w:type="character" w:customStyle="1" w:styleId="Heading7Char">
    <w:name w:val="Heading 7 Char"/>
    <w:link w:val="Heading7"/>
    <w:uiPriority w:val="99"/>
    <w:rsid w:val="00836ACB"/>
    <w:rPr>
      <w:rFonts w:ascii="Cambria" w:hAnsi="Cambria" w:cs="Cambria"/>
      <w:sz w:val="24"/>
      <w:szCs w:val="24"/>
      <w:lang w:val="en-GB" w:eastAsia="ja-JP"/>
    </w:rPr>
  </w:style>
  <w:style w:type="character" w:customStyle="1" w:styleId="Heading8Char">
    <w:name w:val="Heading 8 Char"/>
    <w:link w:val="Heading8"/>
    <w:uiPriority w:val="99"/>
    <w:rsid w:val="00836ACB"/>
    <w:rPr>
      <w:rFonts w:ascii="Cambria" w:hAnsi="Cambria" w:cs="Cambria"/>
      <w:lang w:val="en-GB" w:eastAsia="ja-JP"/>
    </w:rPr>
  </w:style>
  <w:style w:type="character" w:customStyle="1" w:styleId="Heading9Char">
    <w:name w:val="Heading 9 Char"/>
    <w:link w:val="Heading9"/>
    <w:uiPriority w:val="99"/>
    <w:rsid w:val="00836ACB"/>
    <w:rPr>
      <w:rFonts w:ascii="Cambria" w:hAnsi="Cambria" w:cs="Cambria"/>
      <w:lang w:val="en-GB" w:eastAsia="ja-JP"/>
    </w:rPr>
  </w:style>
  <w:style w:type="paragraph" w:customStyle="1" w:styleId="AddressBlock">
    <w:name w:val="Address Block"/>
    <w:basedOn w:val="Normal"/>
    <w:uiPriority w:val="99"/>
    <w:rsid w:val="00836ACB"/>
    <w:pPr>
      <w:spacing w:after="0" w:line="200" w:lineRule="atLeast"/>
    </w:pPr>
    <w:rPr>
      <w:rFonts w:ascii="Cambria" w:hAnsi="Cambria" w:cs="Cambria"/>
      <w:sz w:val="16"/>
      <w:szCs w:val="16"/>
      <w:lang w:eastAsia="en-US"/>
    </w:rPr>
  </w:style>
  <w:style w:type="paragraph" w:customStyle="1" w:styleId="AddresseeInfo">
    <w:name w:val="Addressee Info"/>
    <w:basedOn w:val="Normal"/>
    <w:link w:val="AddresseeInfoChar"/>
    <w:uiPriority w:val="99"/>
    <w:rsid w:val="00836ACB"/>
    <w:pPr>
      <w:spacing w:after="0" w:line="280" w:lineRule="atLeast"/>
    </w:pPr>
    <w:rPr>
      <w:rFonts w:ascii="Cambria" w:eastAsia="MS PGothic" w:hAnsi="Cambria" w:cs="Cambria"/>
      <w:b/>
      <w:bCs/>
      <w:caps/>
      <w:sz w:val="14"/>
      <w:szCs w:val="14"/>
      <w:lang w:eastAsia="en-US"/>
    </w:rPr>
  </w:style>
  <w:style w:type="character" w:customStyle="1" w:styleId="AddresseeInfoChar">
    <w:name w:val="Addressee Info Char"/>
    <w:link w:val="AddresseeInfo"/>
    <w:uiPriority w:val="99"/>
    <w:rsid w:val="00836ACB"/>
    <w:rPr>
      <w:rFonts w:ascii="Cambria" w:eastAsia="MS PGothic" w:hAnsi="Cambria" w:cs="Cambria"/>
      <w:b/>
      <w:bCs/>
      <w:caps/>
      <w:sz w:val="14"/>
      <w:szCs w:val="14"/>
      <w:lang w:val="en-GB" w:eastAsia="en-US"/>
    </w:rPr>
  </w:style>
  <w:style w:type="paragraph" w:styleId="BalloonText">
    <w:name w:val="Balloon Text"/>
    <w:basedOn w:val="Normal"/>
    <w:link w:val="BalloonTextChar"/>
    <w:uiPriority w:val="99"/>
    <w:semiHidden/>
    <w:rsid w:val="00836ACB"/>
    <w:pPr>
      <w:spacing w:after="0"/>
    </w:pPr>
    <w:rPr>
      <w:rFonts w:ascii="Tahoma" w:hAnsi="Tahoma" w:cs="Tahoma"/>
      <w:sz w:val="16"/>
      <w:szCs w:val="16"/>
    </w:rPr>
  </w:style>
  <w:style w:type="character" w:customStyle="1" w:styleId="BalloonTextChar">
    <w:name w:val="Balloon Text Char"/>
    <w:link w:val="BalloonText"/>
    <w:uiPriority w:val="99"/>
    <w:rsid w:val="00836ACB"/>
    <w:rPr>
      <w:rFonts w:ascii="Tahoma" w:hAnsi="Tahoma" w:cs="Tahoma"/>
      <w:sz w:val="16"/>
      <w:szCs w:val="16"/>
      <w:lang w:val="en-GB" w:eastAsia="ja-JP"/>
    </w:rPr>
  </w:style>
  <w:style w:type="paragraph" w:styleId="Bibliography">
    <w:name w:val="Bibliography"/>
    <w:basedOn w:val="Normal"/>
    <w:next w:val="Normal"/>
    <w:uiPriority w:val="99"/>
    <w:semiHidden/>
    <w:rsid w:val="00836ACB"/>
  </w:style>
  <w:style w:type="paragraph" w:styleId="BlockText">
    <w:name w:val="Block Text"/>
    <w:basedOn w:val="Normal"/>
    <w:uiPriority w:val="99"/>
    <w:rsid w:val="00836ACB"/>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BodyText">
    <w:name w:val="Body Text"/>
    <w:basedOn w:val="Normal"/>
    <w:link w:val="BodyTextChar"/>
    <w:uiPriority w:val="99"/>
    <w:rsid w:val="00836ACB"/>
  </w:style>
  <w:style w:type="character" w:customStyle="1" w:styleId="BodyTextChar">
    <w:name w:val="Body Text Char"/>
    <w:link w:val="BodyText"/>
    <w:uiPriority w:val="99"/>
    <w:rsid w:val="00836ACB"/>
    <w:rPr>
      <w:sz w:val="24"/>
      <w:szCs w:val="24"/>
      <w:lang w:val="en-GB" w:eastAsia="ja-JP"/>
    </w:rPr>
  </w:style>
  <w:style w:type="paragraph" w:styleId="BodyText2">
    <w:name w:val="Body Text 2"/>
    <w:basedOn w:val="Normal"/>
    <w:link w:val="BodyText2Char3"/>
    <w:uiPriority w:val="99"/>
    <w:semiHidden/>
    <w:rsid w:val="00327C5F"/>
    <w:pPr>
      <w:spacing w:after="120"/>
      <w:ind w:left="360"/>
    </w:pPr>
  </w:style>
  <w:style w:type="character" w:customStyle="1" w:styleId="BodyText2Char">
    <w:name w:val="Body Text 2 Char"/>
    <w:uiPriority w:val="99"/>
    <w:rsid w:val="00836ACB"/>
    <w:rPr>
      <w:sz w:val="24"/>
      <w:szCs w:val="24"/>
      <w:lang w:val="en-GB" w:eastAsia="ja-JP"/>
    </w:rPr>
  </w:style>
  <w:style w:type="paragraph" w:styleId="BodyText3">
    <w:name w:val="Body Text 3"/>
    <w:basedOn w:val="Normal"/>
    <w:link w:val="BodyText3Char"/>
    <w:uiPriority w:val="99"/>
    <w:rsid w:val="00836ACB"/>
    <w:rPr>
      <w:sz w:val="16"/>
      <w:szCs w:val="16"/>
    </w:rPr>
  </w:style>
  <w:style w:type="character" w:customStyle="1" w:styleId="BodyText3Char">
    <w:name w:val="Body Text 3 Char"/>
    <w:link w:val="BodyText3"/>
    <w:uiPriority w:val="99"/>
    <w:rsid w:val="00836ACB"/>
    <w:rPr>
      <w:sz w:val="16"/>
      <w:szCs w:val="16"/>
      <w:lang w:val="en-GB" w:eastAsia="ja-JP"/>
    </w:rPr>
  </w:style>
  <w:style w:type="paragraph" w:styleId="BodyTextFirstIndent">
    <w:name w:val="Body Text First Indent"/>
    <w:basedOn w:val="BodyText"/>
    <w:link w:val="BodyTextFirstIndentChar"/>
    <w:uiPriority w:val="99"/>
    <w:rsid w:val="00836ACB"/>
    <w:pPr>
      <w:ind w:firstLine="360"/>
    </w:pPr>
  </w:style>
  <w:style w:type="character" w:customStyle="1" w:styleId="BodyTextFirstIndentChar">
    <w:name w:val="Body Text First Indent Char"/>
    <w:link w:val="BodyTextFirstIndent"/>
    <w:uiPriority w:val="99"/>
    <w:rsid w:val="00836ACB"/>
    <w:rPr>
      <w:sz w:val="24"/>
      <w:szCs w:val="24"/>
      <w:lang w:val="en-GB" w:eastAsia="ja-JP"/>
    </w:rPr>
  </w:style>
  <w:style w:type="character" w:customStyle="1" w:styleId="BodyText2Char1">
    <w:name w:val="Body Text 2 Char1"/>
    <w:uiPriority w:val="99"/>
    <w:rsid w:val="00836ACB"/>
    <w:rPr>
      <w:sz w:val="24"/>
      <w:szCs w:val="24"/>
      <w:lang w:val="en-GB" w:eastAsia="ja-JP"/>
    </w:rPr>
  </w:style>
  <w:style w:type="character" w:customStyle="1" w:styleId="BodyText2Char2">
    <w:name w:val="Body Text 2 Char2"/>
    <w:uiPriority w:val="99"/>
    <w:semiHidden/>
    <w:rsid w:val="004524E7"/>
    <w:rPr>
      <w:sz w:val="24"/>
      <w:szCs w:val="24"/>
      <w:lang w:val="en-GB" w:eastAsia="ja-JP"/>
    </w:rPr>
  </w:style>
  <w:style w:type="character" w:customStyle="1" w:styleId="BodyText2Char3">
    <w:name w:val="Body Text 2 Char3"/>
    <w:link w:val="BodyText2"/>
    <w:uiPriority w:val="99"/>
    <w:semiHidden/>
    <w:rsid w:val="00327C5F"/>
    <w:rPr>
      <w:sz w:val="24"/>
      <w:szCs w:val="24"/>
      <w:lang w:val="en-GB" w:eastAsia="ja-JP"/>
    </w:rPr>
  </w:style>
  <w:style w:type="paragraph" w:styleId="BodyTextIndent">
    <w:name w:val="Body Text Indent"/>
    <w:basedOn w:val="Normal"/>
    <w:link w:val="BodyTextIndentChar"/>
    <w:uiPriority w:val="99"/>
    <w:semiHidden/>
    <w:unhideWhenUsed/>
    <w:rsid w:val="006842A7"/>
    <w:pPr>
      <w:spacing w:after="120"/>
      <w:ind w:left="360"/>
    </w:pPr>
  </w:style>
  <w:style w:type="character" w:customStyle="1" w:styleId="BodyTextIndentChar">
    <w:name w:val="Body Text Indent Char"/>
    <w:link w:val="BodyTextIndent"/>
    <w:uiPriority w:val="99"/>
    <w:semiHidden/>
    <w:rsid w:val="006842A7"/>
    <w:rPr>
      <w:rFonts w:cs="Calibri"/>
      <w:sz w:val="24"/>
      <w:szCs w:val="24"/>
      <w:lang w:val="en-GB" w:eastAsia="ja-JP"/>
    </w:rPr>
  </w:style>
  <w:style w:type="paragraph" w:styleId="BodyTextFirstIndent2">
    <w:name w:val="Body Text First Indent 2"/>
    <w:basedOn w:val="BodyText2"/>
    <w:link w:val="BodyTextFirstIndent2Char"/>
    <w:uiPriority w:val="99"/>
    <w:rsid w:val="00836ACB"/>
    <w:pPr>
      <w:spacing w:after="240"/>
      <w:ind w:left="288" w:firstLine="360"/>
    </w:pPr>
  </w:style>
  <w:style w:type="character" w:customStyle="1" w:styleId="BodyTextFirstIndent2Char">
    <w:name w:val="Body Text First Indent 2 Char"/>
    <w:link w:val="BodyTextFirstIndent2"/>
    <w:uiPriority w:val="99"/>
    <w:rsid w:val="00836ACB"/>
    <w:rPr>
      <w:sz w:val="24"/>
      <w:szCs w:val="24"/>
      <w:lang w:val="en-GB" w:eastAsia="ja-JP"/>
    </w:rPr>
  </w:style>
  <w:style w:type="paragraph" w:styleId="BodyTextIndent2">
    <w:name w:val="Body Text Indent 2"/>
    <w:basedOn w:val="Normal"/>
    <w:link w:val="BodyTextIndent2Char"/>
    <w:uiPriority w:val="99"/>
    <w:rsid w:val="00836ACB"/>
    <w:pPr>
      <w:spacing w:line="480" w:lineRule="auto"/>
      <w:ind w:left="288"/>
    </w:pPr>
  </w:style>
  <w:style w:type="character" w:customStyle="1" w:styleId="BodyTextIndent2Char">
    <w:name w:val="Body Text Indent 2 Char"/>
    <w:link w:val="BodyTextIndent2"/>
    <w:uiPriority w:val="99"/>
    <w:rsid w:val="00836ACB"/>
    <w:rPr>
      <w:sz w:val="24"/>
      <w:szCs w:val="24"/>
      <w:lang w:val="en-GB" w:eastAsia="ja-JP"/>
    </w:rPr>
  </w:style>
  <w:style w:type="paragraph" w:styleId="BodyTextIndent3">
    <w:name w:val="Body Text Indent 3"/>
    <w:basedOn w:val="Normal"/>
    <w:link w:val="BodyTextIndent3Char"/>
    <w:uiPriority w:val="99"/>
    <w:rsid w:val="00836ACB"/>
    <w:pPr>
      <w:ind w:left="288"/>
    </w:pPr>
    <w:rPr>
      <w:sz w:val="16"/>
      <w:szCs w:val="16"/>
    </w:rPr>
  </w:style>
  <w:style w:type="character" w:customStyle="1" w:styleId="BodyTextIndent3Char">
    <w:name w:val="Body Text Indent 3 Char"/>
    <w:link w:val="BodyTextIndent3"/>
    <w:uiPriority w:val="99"/>
    <w:rsid w:val="00836ACB"/>
    <w:rPr>
      <w:sz w:val="16"/>
      <w:szCs w:val="16"/>
      <w:lang w:val="en-GB" w:eastAsia="ja-JP"/>
    </w:rPr>
  </w:style>
  <w:style w:type="character" w:styleId="BookTitle">
    <w:name w:val="Book Title"/>
    <w:uiPriority w:val="99"/>
    <w:qFormat/>
    <w:rsid w:val="00836ACB"/>
    <w:rPr>
      <w:b/>
      <w:bCs/>
      <w:smallCaps/>
      <w:spacing w:val="5"/>
      <w:sz w:val="24"/>
      <w:szCs w:val="24"/>
    </w:rPr>
  </w:style>
  <w:style w:type="paragraph" w:styleId="Caption">
    <w:name w:val="caption"/>
    <w:basedOn w:val="Normal"/>
    <w:next w:val="Normal"/>
    <w:uiPriority w:val="99"/>
    <w:qFormat/>
    <w:rsid w:val="00836ACB"/>
    <w:pPr>
      <w:keepNext/>
      <w:spacing w:after="0"/>
      <w:jc w:val="center"/>
    </w:pPr>
    <w:rPr>
      <w:b/>
      <w:bCs/>
    </w:rPr>
  </w:style>
  <w:style w:type="paragraph" w:customStyle="1" w:styleId="ClientName">
    <w:name w:val="Client Name"/>
    <w:basedOn w:val="Normal"/>
    <w:uiPriority w:val="99"/>
    <w:rsid w:val="00836ACB"/>
    <w:pPr>
      <w:spacing w:line="520" w:lineRule="atLeast"/>
    </w:pPr>
    <w:rPr>
      <w:rFonts w:ascii="Cambria" w:hAnsi="Cambria" w:cs="Cambria"/>
      <w:sz w:val="44"/>
      <w:szCs w:val="44"/>
    </w:rPr>
  </w:style>
  <w:style w:type="paragraph" w:customStyle="1" w:styleId="ClientNameCrossRef">
    <w:name w:val="Client Name Cross Ref"/>
    <w:basedOn w:val="Normal"/>
    <w:uiPriority w:val="99"/>
    <w:rsid w:val="00836ACB"/>
    <w:pPr>
      <w:spacing w:after="180" w:line="200" w:lineRule="atLeast"/>
    </w:pPr>
    <w:rPr>
      <w:rFonts w:ascii="Cambria" w:hAnsi="Cambria" w:cs="Cambria"/>
      <w:sz w:val="16"/>
      <w:szCs w:val="16"/>
      <w:lang w:eastAsia="en-US"/>
    </w:rPr>
  </w:style>
  <w:style w:type="paragraph" w:styleId="Closing">
    <w:name w:val="Closing"/>
    <w:basedOn w:val="Normal"/>
    <w:link w:val="ClosingChar"/>
    <w:uiPriority w:val="99"/>
    <w:rsid w:val="00836ACB"/>
    <w:pPr>
      <w:spacing w:after="0"/>
      <w:ind w:left="4252"/>
    </w:pPr>
  </w:style>
  <w:style w:type="character" w:customStyle="1" w:styleId="ClosingChar">
    <w:name w:val="Closing Char"/>
    <w:link w:val="Closing"/>
    <w:uiPriority w:val="99"/>
    <w:rsid w:val="00836ACB"/>
    <w:rPr>
      <w:sz w:val="24"/>
      <w:szCs w:val="24"/>
      <w:lang w:val="en-GB" w:eastAsia="ja-JP"/>
    </w:rPr>
  </w:style>
  <w:style w:type="table" w:styleId="ColorfulGrid">
    <w:name w:val="Colorful Grid"/>
    <w:basedOn w:val="TableNormal"/>
    <w:uiPriority w:val="99"/>
    <w:rsid w:val="00836ACB"/>
    <w:rPr>
      <w:rFonts w:ascii="Times New Roman" w:hAnsi="Times New Roman"/>
      <w:color w:val="000000"/>
      <w:lang w:val="en-GB" w:eastAsia="ja-JP"/>
    </w:rPr>
    <w:tblPr>
      <w:tblStyleRowBandSize w:val="1"/>
      <w:tblStyleColBandSize w:val="1"/>
      <w:tblInd w:w="0" w:type="dxa"/>
      <w:tblBorders>
        <w:insideH w:val="single" w:sz="4" w:space="0" w:color="CEDFD9"/>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CEDFD9"/>
      </w:rPr>
      <w:tblPr/>
      <w:tcPr>
        <w:shd w:val="clear" w:color="auto" w:fill="000000"/>
      </w:tcPr>
    </w:tblStylePr>
    <w:tblStylePr w:type="lastCol">
      <w:rPr>
        <w:color w:val="CEDFD9"/>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rsid w:val="00836ACB"/>
    <w:rPr>
      <w:rFonts w:ascii="Times New Roman" w:hAnsi="Times New Roman"/>
      <w:color w:val="000000"/>
      <w:lang w:val="en-GB" w:eastAsia="ja-JP"/>
    </w:rPr>
    <w:tblPr>
      <w:tblStyleRowBandSize w:val="1"/>
      <w:tblStyleColBandSize w:val="1"/>
      <w:tblInd w:w="0" w:type="dxa"/>
      <w:tblBorders>
        <w:insideH w:val="single" w:sz="4" w:space="0" w:color="CEDFD9"/>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CEDFD9"/>
      </w:rPr>
      <w:tblPr/>
      <w:tcPr>
        <w:shd w:val="clear" w:color="auto" w:fill="365F91"/>
      </w:tcPr>
    </w:tblStylePr>
    <w:tblStylePr w:type="lastCol">
      <w:rPr>
        <w:color w:val="CEDFD9"/>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rsid w:val="00836ACB"/>
    <w:rPr>
      <w:rFonts w:ascii="Times New Roman" w:hAnsi="Times New Roman"/>
      <w:color w:val="000000"/>
      <w:lang w:val="en-GB" w:eastAsia="ja-JP"/>
    </w:rPr>
    <w:tblPr>
      <w:tblStyleRowBandSize w:val="1"/>
      <w:tblStyleColBandSize w:val="1"/>
      <w:tblInd w:w="0" w:type="dxa"/>
      <w:tblBorders>
        <w:insideH w:val="single" w:sz="4" w:space="0" w:color="CEDFD9"/>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CEDFD9"/>
      </w:rPr>
      <w:tblPr/>
      <w:tcPr>
        <w:shd w:val="clear" w:color="auto" w:fill="943634"/>
      </w:tcPr>
    </w:tblStylePr>
    <w:tblStylePr w:type="lastCol">
      <w:rPr>
        <w:color w:val="CEDFD9"/>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rsid w:val="00836ACB"/>
    <w:rPr>
      <w:rFonts w:ascii="Times New Roman" w:hAnsi="Times New Roman"/>
      <w:color w:val="000000"/>
      <w:lang w:val="en-GB" w:eastAsia="ja-JP"/>
    </w:rPr>
    <w:tblPr>
      <w:tblStyleRowBandSize w:val="1"/>
      <w:tblStyleColBandSize w:val="1"/>
      <w:tblInd w:w="0" w:type="dxa"/>
      <w:tblBorders>
        <w:insideH w:val="single" w:sz="4" w:space="0" w:color="CEDFD9"/>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CEDFD9"/>
      </w:rPr>
      <w:tblPr/>
      <w:tcPr>
        <w:shd w:val="clear" w:color="auto" w:fill="76923C"/>
      </w:tcPr>
    </w:tblStylePr>
    <w:tblStylePr w:type="lastCol">
      <w:rPr>
        <w:color w:val="CEDFD9"/>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rsid w:val="00836ACB"/>
    <w:rPr>
      <w:rFonts w:ascii="Times New Roman" w:hAnsi="Times New Roman"/>
      <w:color w:val="000000"/>
      <w:lang w:val="en-GB" w:eastAsia="ja-JP"/>
    </w:rPr>
    <w:tblPr>
      <w:tblStyleRowBandSize w:val="1"/>
      <w:tblStyleColBandSize w:val="1"/>
      <w:tblInd w:w="0" w:type="dxa"/>
      <w:tblBorders>
        <w:insideH w:val="single" w:sz="4" w:space="0" w:color="CEDFD9"/>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CEDFD9"/>
      </w:rPr>
      <w:tblPr/>
      <w:tcPr>
        <w:shd w:val="clear" w:color="auto" w:fill="5F497A"/>
      </w:tcPr>
    </w:tblStylePr>
    <w:tblStylePr w:type="lastCol">
      <w:rPr>
        <w:color w:val="CEDFD9"/>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rsid w:val="00836ACB"/>
    <w:rPr>
      <w:rFonts w:ascii="Times New Roman" w:hAnsi="Times New Roman"/>
      <w:color w:val="000000"/>
      <w:lang w:val="en-GB" w:eastAsia="ja-JP"/>
    </w:rPr>
    <w:tblPr>
      <w:tblStyleRowBandSize w:val="1"/>
      <w:tblStyleColBandSize w:val="1"/>
      <w:tblInd w:w="0" w:type="dxa"/>
      <w:tblBorders>
        <w:insideH w:val="single" w:sz="4" w:space="0" w:color="CEDFD9"/>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CEDFD9"/>
      </w:rPr>
      <w:tblPr/>
      <w:tcPr>
        <w:shd w:val="clear" w:color="auto" w:fill="31849B"/>
      </w:tcPr>
    </w:tblStylePr>
    <w:tblStylePr w:type="lastCol">
      <w:rPr>
        <w:color w:val="CEDFD9"/>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rsid w:val="00836ACB"/>
    <w:rPr>
      <w:rFonts w:ascii="Times New Roman" w:hAnsi="Times New Roman"/>
      <w:color w:val="000000"/>
      <w:lang w:val="en-GB" w:eastAsia="ja-JP"/>
    </w:rPr>
    <w:tblPr>
      <w:tblStyleRowBandSize w:val="1"/>
      <w:tblStyleColBandSize w:val="1"/>
      <w:tblInd w:w="0" w:type="dxa"/>
      <w:tblBorders>
        <w:insideH w:val="single" w:sz="4" w:space="0" w:color="CEDFD9"/>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CEDFD9"/>
      </w:rPr>
      <w:tblPr/>
      <w:tcPr>
        <w:shd w:val="clear" w:color="auto" w:fill="E36C0A"/>
      </w:tcPr>
    </w:tblStylePr>
    <w:tblStylePr w:type="lastCol">
      <w:rPr>
        <w:color w:val="CEDFD9"/>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99"/>
    <w:rsid w:val="00836ACB"/>
    <w:rPr>
      <w:rFonts w:ascii="Times New Roman" w:hAnsi="Times New Roman"/>
      <w:color w:val="000000"/>
      <w:lang w:val="en-GB" w:eastAsia="ja-JP"/>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CEDFD9"/>
      </w:rPr>
      <w:tblPr/>
      <w:tcPr>
        <w:tcBorders>
          <w:bottom w:val="single" w:sz="12" w:space="0" w:color="CEDFD9"/>
        </w:tcBorders>
        <w:shd w:val="clear" w:color="auto" w:fill="9E3A38"/>
      </w:tcPr>
    </w:tblStylePr>
    <w:tblStylePr w:type="lastRow">
      <w:rPr>
        <w:b/>
        <w:bCs/>
        <w:color w:val="9E3A38"/>
      </w:rPr>
      <w:tblPr/>
      <w:tcPr>
        <w:tcBorders>
          <w:top w:val="single" w:sz="12" w:space="0" w:color="000000"/>
        </w:tcBorders>
        <w:shd w:val="clear" w:color="auto" w:fill="CEDFD9"/>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836ACB"/>
    <w:rPr>
      <w:rFonts w:ascii="Times New Roman" w:hAnsi="Times New Roman"/>
      <w:color w:val="000000"/>
      <w:lang w:val="en-GB" w:eastAsia="ja-JP"/>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CEDFD9"/>
      </w:rPr>
      <w:tblPr/>
      <w:tcPr>
        <w:tcBorders>
          <w:bottom w:val="single" w:sz="12" w:space="0" w:color="CEDFD9"/>
        </w:tcBorders>
        <w:shd w:val="clear" w:color="auto" w:fill="9E3A38"/>
      </w:tcPr>
    </w:tblStylePr>
    <w:tblStylePr w:type="lastRow">
      <w:rPr>
        <w:b/>
        <w:bCs/>
        <w:color w:val="9E3A38"/>
      </w:rPr>
      <w:tblPr/>
      <w:tcPr>
        <w:tcBorders>
          <w:top w:val="single" w:sz="12" w:space="0" w:color="000000"/>
        </w:tcBorders>
        <w:shd w:val="clear" w:color="auto" w:fill="CEDFD9"/>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rsid w:val="00836ACB"/>
    <w:rPr>
      <w:rFonts w:ascii="Times New Roman" w:hAnsi="Times New Roman"/>
      <w:color w:val="000000"/>
      <w:lang w:val="en-GB" w:eastAsia="ja-JP"/>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CEDFD9"/>
      </w:rPr>
      <w:tblPr/>
      <w:tcPr>
        <w:tcBorders>
          <w:bottom w:val="single" w:sz="12" w:space="0" w:color="CEDFD9"/>
        </w:tcBorders>
        <w:shd w:val="clear" w:color="auto" w:fill="9E3A38"/>
      </w:tcPr>
    </w:tblStylePr>
    <w:tblStylePr w:type="lastRow">
      <w:rPr>
        <w:b/>
        <w:bCs/>
        <w:color w:val="9E3A38"/>
      </w:rPr>
      <w:tblPr/>
      <w:tcPr>
        <w:tcBorders>
          <w:top w:val="single" w:sz="12" w:space="0" w:color="000000"/>
        </w:tcBorders>
        <w:shd w:val="clear" w:color="auto" w:fill="CEDFD9"/>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rsid w:val="00836ACB"/>
    <w:rPr>
      <w:rFonts w:ascii="Times New Roman" w:hAnsi="Times New Roman"/>
      <w:color w:val="000000"/>
      <w:lang w:val="en-GB" w:eastAsia="ja-JP"/>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CEDFD9"/>
      </w:rPr>
      <w:tblPr/>
      <w:tcPr>
        <w:tcBorders>
          <w:bottom w:val="single" w:sz="12" w:space="0" w:color="CEDFD9"/>
        </w:tcBorders>
        <w:shd w:val="clear" w:color="auto" w:fill="664E82"/>
      </w:tcPr>
    </w:tblStylePr>
    <w:tblStylePr w:type="lastRow">
      <w:rPr>
        <w:b/>
        <w:bCs/>
        <w:color w:val="664E82"/>
      </w:rPr>
      <w:tblPr/>
      <w:tcPr>
        <w:tcBorders>
          <w:top w:val="single" w:sz="12" w:space="0" w:color="000000"/>
        </w:tcBorders>
        <w:shd w:val="clear" w:color="auto" w:fill="CEDFD9"/>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rsid w:val="00836ACB"/>
    <w:rPr>
      <w:rFonts w:ascii="Times New Roman" w:hAnsi="Times New Roman"/>
      <w:color w:val="000000"/>
      <w:lang w:val="en-GB" w:eastAsia="ja-JP"/>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CEDFD9"/>
      </w:rPr>
      <w:tblPr/>
      <w:tcPr>
        <w:tcBorders>
          <w:bottom w:val="single" w:sz="12" w:space="0" w:color="CEDFD9"/>
        </w:tcBorders>
        <w:shd w:val="clear" w:color="auto" w:fill="7E9C40"/>
      </w:tcPr>
    </w:tblStylePr>
    <w:tblStylePr w:type="lastRow">
      <w:rPr>
        <w:b/>
        <w:bCs/>
        <w:color w:val="7E9C40"/>
      </w:rPr>
      <w:tblPr/>
      <w:tcPr>
        <w:tcBorders>
          <w:top w:val="single" w:sz="12" w:space="0" w:color="000000"/>
        </w:tcBorders>
        <w:shd w:val="clear" w:color="auto" w:fill="CEDFD9"/>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rsid w:val="00836ACB"/>
    <w:rPr>
      <w:rFonts w:ascii="Times New Roman" w:hAnsi="Times New Roman"/>
      <w:color w:val="000000"/>
      <w:lang w:val="en-GB" w:eastAsia="ja-JP"/>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CEDFD9"/>
      </w:rPr>
      <w:tblPr/>
      <w:tcPr>
        <w:tcBorders>
          <w:bottom w:val="single" w:sz="12" w:space="0" w:color="CEDFD9"/>
        </w:tcBorders>
        <w:shd w:val="clear" w:color="auto" w:fill="F2730A"/>
      </w:tcPr>
    </w:tblStylePr>
    <w:tblStylePr w:type="lastRow">
      <w:rPr>
        <w:b/>
        <w:bCs/>
        <w:color w:val="F2730A"/>
      </w:rPr>
      <w:tblPr/>
      <w:tcPr>
        <w:tcBorders>
          <w:top w:val="single" w:sz="12" w:space="0" w:color="000000"/>
        </w:tcBorders>
        <w:shd w:val="clear" w:color="auto" w:fill="CEDFD9"/>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rsid w:val="00836ACB"/>
    <w:rPr>
      <w:rFonts w:ascii="Times New Roman" w:hAnsi="Times New Roman"/>
      <w:color w:val="000000"/>
      <w:lang w:val="en-GB" w:eastAsia="ja-JP"/>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CEDFD9"/>
      </w:rPr>
      <w:tblPr/>
      <w:tcPr>
        <w:tcBorders>
          <w:bottom w:val="single" w:sz="12" w:space="0" w:color="CEDFD9"/>
        </w:tcBorders>
        <w:shd w:val="clear" w:color="auto" w:fill="348DA5"/>
      </w:tcPr>
    </w:tblStylePr>
    <w:tblStylePr w:type="lastRow">
      <w:rPr>
        <w:b/>
        <w:bCs/>
        <w:color w:val="348DA5"/>
      </w:rPr>
      <w:tblPr/>
      <w:tcPr>
        <w:tcBorders>
          <w:top w:val="single" w:sz="12" w:space="0" w:color="000000"/>
        </w:tcBorders>
        <w:shd w:val="clear" w:color="auto" w:fill="CEDFD9"/>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CEDFD9"/>
        <w:insideV w:val="single" w:sz="4" w:space="0" w:color="CEDFD9"/>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CEDFD9"/>
      </w:tcPr>
    </w:tblStylePr>
    <w:tblStylePr w:type="lastRow">
      <w:rPr>
        <w:b/>
        <w:bCs/>
        <w:color w:val="CEDFD9"/>
      </w:rPr>
      <w:tblPr/>
      <w:tcPr>
        <w:tcBorders>
          <w:top w:val="single" w:sz="6" w:space="0" w:color="CEDFD9"/>
        </w:tcBorders>
        <w:shd w:val="clear" w:color="auto" w:fill="000000"/>
      </w:tcPr>
    </w:tblStylePr>
    <w:tblStylePr w:type="firstCol">
      <w:rPr>
        <w:color w:val="CEDFD9"/>
      </w:rPr>
      <w:tblPr/>
      <w:tcPr>
        <w:tcBorders>
          <w:top w:val="nil"/>
          <w:left w:val="nil"/>
          <w:bottom w:val="nil"/>
          <w:right w:val="nil"/>
          <w:insideH w:val="single" w:sz="4" w:space="0" w:color="000000"/>
          <w:insideV w:val="nil"/>
        </w:tcBorders>
        <w:shd w:val="clear" w:color="auto" w:fill="000000"/>
      </w:tcPr>
    </w:tblStylePr>
    <w:tblStylePr w:type="lastCol">
      <w:rPr>
        <w:color w:val="CEDFD9"/>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CEDFD9"/>
        <w:insideV w:val="single" w:sz="4" w:space="0" w:color="CEDFD9"/>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CEDFD9"/>
      </w:tcPr>
    </w:tblStylePr>
    <w:tblStylePr w:type="lastRow">
      <w:rPr>
        <w:b/>
        <w:bCs/>
        <w:color w:val="CEDFD9"/>
      </w:rPr>
      <w:tblPr/>
      <w:tcPr>
        <w:tcBorders>
          <w:top w:val="single" w:sz="6" w:space="0" w:color="CEDFD9"/>
        </w:tcBorders>
        <w:shd w:val="clear" w:color="auto" w:fill="2C4C74"/>
      </w:tcPr>
    </w:tblStylePr>
    <w:tblStylePr w:type="firstCol">
      <w:rPr>
        <w:color w:val="CEDFD9"/>
      </w:rPr>
      <w:tblPr/>
      <w:tcPr>
        <w:tcBorders>
          <w:top w:val="nil"/>
          <w:left w:val="nil"/>
          <w:bottom w:val="nil"/>
          <w:right w:val="nil"/>
          <w:insideH w:val="single" w:sz="4" w:space="0" w:color="2C4C74"/>
          <w:insideV w:val="nil"/>
        </w:tcBorders>
        <w:shd w:val="clear" w:color="auto" w:fill="2C4C74"/>
      </w:tcPr>
    </w:tblStylePr>
    <w:tblStylePr w:type="lastCol">
      <w:rPr>
        <w:color w:val="CEDFD9"/>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CEDFD9"/>
        <w:insideV w:val="single" w:sz="4" w:space="0" w:color="CEDFD9"/>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CEDFD9"/>
      </w:tcPr>
    </w:tblStylePr>
    <w:tblStylePr w:type="lastRow">
      <w:rPr>
        <w:b/>
        <w:bCs/>
        <w:color w:val="CEDFD9"/>
      </w:rPr>
      <w:tblPr/>
      <w:tcPr>
        <w:tcBorders>
          <w:top w:val="single" w:sz="6" w:space="0" w:color="CEDFD9"/>
        </w:tcBorders>
        <w:shd w:val="clear" w:color="auto" w:fill="772C2A"/>
      </w:tcPr>
    </w:tblStylePr>
    <w:tblStylePr w:type="firstCol">
      <w:rPr>
        <w:color w:val="CEDFD9"/>
      </w:rPr>
      <w:tblPr/>
      <w:tcPr>
        <w:tcBorders>
          <w:top w:val="nil"/>
          <w:left w:val="nil"/>
          <w:bottom w:val="nil"/>
          <w:right w:val="nil"/>
          <w:insideH w:val="single" w:sz="4" w:space="0" w:color="772C2A"/>
          <w:insideV w:val="nil"/>
        </w:tcBorders>
        <w:shd w:val="clear" w:color="auto" w:fill="772C2A"/>
      </w:tcPr>
    </w:tblStylePr>
    <w:tblStylePr w:type="lastCol">
      <w:rPr>
        <w:color w:val="CEDFD9"/>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CEDFD9"/>
        <w:insideV w:val="single" w:sz="4" w:space="0" w:color="CEDFD9"/>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CEDFD9"/>
      </w:tcPr>
    </w:tblStylePr>
    <w:tblStylePr w:type="lastRow">
      <w:rPr>
        <w:b/>
        <w:bCs/>
        <w:color w:val="CEDFD9"/>
      </w:rPr>
      <w:tblPr/>
      <w:tcPr>
        <w:tcBorders>
          <w:top w:val="single" w:sz="6" w:space="0" w:color="CEDFD9"/>
        </w:tcBorders>
        <w:shd w:val="clear" w:color="auto" w:fill="5E7530"/>
      </w:tcPr>
    </w:tblStylePr>
    <w:tblStylePr w:type="firstCol">
      <w:rPr>
        <w:color w:val="CEDFD9"/>
      </w:rPr>
      <w:tblPr/>
      <w:tcPr>
        <w:tcBorders>
          <w:top w:val="nil"/>
          <w:left w:val="nil"/>
          <w:bottom w:val="nil"/>
          <w:right w:val="nil"/>
          <w:insideH w:val="single" w:sz="4" w:space="0" w:color="5E7530"/>
          <w:insideV w:val="nil"/>
        </w:tcBorders>
        <w:shd w:val="clear" w:color="auto" w:fill="5E7530"/>
      </w:tcPr>
    </w:tblStylePr>
    <w:tblStylePr w:type="lastCol">
      <w:rPr>
        <w:color w:val="CEDFD9"/>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CEDFD9"/>
        <w:insideV w:val="single" w:sz="4" w:space="0" w:color="CEDFD9"/>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CEDFD9"/>
      </w:tcPr>
    </w:tblStylePr>
    <w:tblStylePr w:type="lastRow">
      <w:rPr>
        <w:b/>
        <w:bCs/>
        <w:color w:val="CEDFD9"/>
      </w:rPr>
      <w:tblPr/>
      <w:tcPr>
        <w:tcBorders>
          <w:top w:val="single" w:sz="6" w:space="0" w:color="CEDFD9"/>
        </w:tcBorders>
        <w:shd w:val="clear" w:color="auto" w:fill="4C3B62"/>
      </w:tcPr>
    </w:tblStylePr>
    <w:tblStylePr w:type="firstCol">
      <w:rPr>
        <w:color w:val="CEDFD9"/>
      </w:rPr>
      <w:tblPr/>
      <w:tcPr>
        <w:tcBorders>
          <w:top w:val="nil"/>
          <w:left w:val="nil"/>
          <w:bottom w:val="nil"/>
          <w:right w:val="nil"/>
          <w:insideH w:val="single" w:sz="4" w:space="0" w:color="4C3B62"/>
          <w:insideV w:val="nil"/>
        </w:tcBorders>
        <w:shd w:val="clear" w:color="auto" w:fill="4C3B62"/>
      </w:tcPr>
    </w:tblStylePr>
    <w:tblStylePr w:type="lastCol">
      <w:rPr>
        <w:color w:val="CEDFD9"/>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CEDFD9"/>
        <w:insideV w:val="single" w:sz="4" w:space="0" w:color="CEDFD9"/>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CEDFD9"/>
      </w:tcPr>
    </w:tblStylePr>
    <w:tblStylePr w:type="lastRow">
      <w:rPr>
        <w:b/>
        <w:bCs/>
        <w:color w:val="CEDFD9"/>
      </w:rPr>
      <w:tblPr/>
      <w:tcPr>
        <w:tcBorders>
          <w:top w:val="single" w:sz="6" w:space="0" w:color="CEDFD9"/>
        </w:tcBorders>
        <w:shd w:val="clear" w:color="auto" w:fill="276A7C"/>
      </w:tcPr>
    </w:tblStylePr>
    <w:tblStylePr w:type="firstCol">
      <w:rPr>
        <w:color w:val="CEDFD9"/>
      </w:rPr>
      <w:tblPr/>
      <w:tcPr>
        <w:tcBorders>
          <w:top w:val="nil"/>
          <w:left w:val="nil"/>
          <w:bottom w:val="nil"/>
          <w:right w:val="nil"/>
          <w:insideH w:val="single" w:sz="4" w:space="0" w:color="276A7C"/>
          <w:insideV w:val="nil"/>
        </w:tcBorders>
        <w:shd w:val="clear" w:color="auto" w:fill="276A7C"/>
      </w:tcPr>
    </w:tblStylePr>
    <w:tblStylePr w:type="lastCol">
      <w:rPr>
        <w:color w:val="CEDFD9"/>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CEDFD9"/>
        <w:insideV w:val="single" w:sz="4" w:space="0" w:color="CEDFD9"/>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CEDFD9"/>
      </w:tcPr>
    </w:tblStylePr>
    <w:tblStylePr w:type="lastRow">
      <w:rPr>
        <w:b/>
        <w:bCs/>
        <w:color w:val="CEDFD9"/>
      </w:rPr>
      <w:tblPr/>
      <w:tcPr>
        <w:tcBorders>
          <w:top w:val="single" w:sz="6" w:space="0" w:color="CEDFD9"/>
        </w:tcBorders>
        <w:shd w:val="clear" w:color="auto" w:fill="B65608"/>
      </w:tcPr>
    </w:tblStylePr>
    <w:tblStylePr w:type="firstCol">
      <w:rPr>
        <w:color w:val="CEDFD9"/>
      </w:rPr>
      <w:tblPr/>
      <w:tcPr>
        <w:tcBorders>
          <w:top w:val="nil"/>
          <w:left w:val="nil"/>
          <w:bottom w:val="nil"/>
          <w:right w:val="nil"/>
          <w:insideH w:val="single" w:sz="4" w:space="0" w:color="B65608"/>
          <w:insideV w:val="nil"/>
        </w:tcBorders>
        <w:shd w:val="clear" w:color="auto" w:fill="B65608"/>
      </w:tcPr>
    </w:tblStylePr>
    <w:tblStylePr w:type="lastCol">
      <w:rPr>
        <w:color w:val="CEDFD9"/>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sid w:val="00836ACB"/>
    <w:rPr>
      <w:sz w:val="16"/>
      <w:szCs w:val="16"/>
    </w:rPr>
  </w:style>
  <w:style w:type="paragraph" w:styleId="CommentText">
    <w:name w:val="annotation text"/>
    <w:basedOn w:val="Normal"/>
    <w:link w:val="CommentTextChar"/>
    <w:uiPriority w:val="99"/>
    <w:semiHidden/>
    <w:rsid w:val="00836ACB"/>
  </w:style>
  <w:style w:type="character" w:customStyle="1" w:styleId="CommentTextChar">
    <w:name w:val="Comment Text Char"/>
    <w:link w:val="CommentText"/>
    <w:uiPriority w:val="99"/>
    <w:rsid w:val="00836ACB"/>
    <w:rPr>
      <w:sz w:val="24"/>
      <w:szCs w:val="24"/>
      <w:lang w:val="en-GB" w:eastAsia="ja-JP"/>
    </w:rPr>
  </w:style>
  <w:style w:type="paragraph" w:styleId="CommentSubject">
    <w:name w:val="annotation subject"/>
    <w:basedOn w:val="CommentText"/>
    <w:next w:val="CommentText"/>
    <w:link w:val="CommentSubjectChar"/>
    <w:uiPriority w:val="99"/>
    <w:semiHidden/>
    <w:rsid w:val="00836ACB"/>
    <w:rPr>
      <w:b/>
      <w:bCs/>
    </w:rPr>
  </w:style>
  <w:style w:type="character" w:customStyle="1" w:styleId="CommentSubjectChar">
    <w:name w:val="Comment Subject Char"/>
    <w:link w:val="CommentSubject"/>
    <w:uiPriority w:val="99"/>
    <w:rsid w:val="00836ACB"/>
    <w:rPr>
      <w:b/>
      <w:bCs/>
      <w:sz w:val="24"/>
      <w:szCs w:val="24"/>
      <w:lang w:val="en-GB" w:eastAsia="ja-JP"/>
    </w:rPr>
  </w:style>
  <w:style w:type="table" w:styleId="DarkList">
    <w:name w:val="Dark List"/>
    <w:basedOn w:val="TableNormal"/>
    <w:uiPriority w:val="99"/>
    <w:rsid w:val="00836ACB"/>
    <w:rPr>
      <w:rFonts w:ascii="Times New Roman" w:hAnsi="Times New Roman"/>
      <w:color w:val="CEDFD9"/>
      <w:lang w:val="en-GB" w:eastAsia="ja-JP"/>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CEDFD9"/>
          <w:right w:val="nil"/>
          <w:insideH w:val="nil"/>
          <w:insideV w:val="nil"/>
        </w:tcBorders>
        <w:shd w:val="clear" w:color="auto" w:fill="000000"/>
      </w:tcPr>
    </w:tblStylePr>
    <w:tblStylePr w:type="lastRow">
      <w:tblPr/>
      <w:tcPr>
        <w:tcBorders>
          <w:top w:val="single" w:sz="18" w:space="0" w:color="CEDFD9"/>
          <w:left w:val="nil"/>
          <w:bottom w:val="nil"/>
          <w:right w:val="nil"/>
          <w:insideH w:val="nil"/>
          <w:insideV w:val="nil"/>
        </w:tcBorders>
        <w:shd w:val="clear" w:color="auto" w:fill="000000"/>
      </w:tcPr>
    </w:tblStylePr>
    <w:tblStylePr w:type="firstCol">
      <w:tblPr/>
      <w:tcPr>
        <w:tcBorders>
          <w:top w:val="nil"/>
          <w:left w:val="nil"/>
          <w:bottom w:val="nil"/>
          <w:right w:val="single" w:sz="18" w:space="0" w:color="CEDFD9"/>
          <w:insideH w:val="nil"/>
          <w:insideV w:val="nil"/>
        </w:tcBorders>
        <w:shd w:val="clear" w:color="auto" w:fill="000000"/>
      </w:tcPr>
    </w:tblStylePr>
    <w:tblStylePr w:type="lastCol">
      <w:tblPr/>
      <w:tcPr>
        <w:tcBorders>
          <w:top w:val="nil"/>
          <w:left w:val="single" w:sz="18" w:space="0" w:color="CEDFD9"/>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836ACB"/>
    <w:rPr>
      <w:rFonts w:ascii="Times New Roman" w:hAnsi="Times New Roman"/>
      <w:color w:val="CEDFD9"/>
      <w:lang w:val="en-GB" w:eastAsia="ja-JP"/>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CEDFD9"/>
          <w:right w:val="nil"/>
          <w:insideH w:val="nil"/>
          <w:insideV w:val="nil"/>
        </w:tcBorders>
        <w:shd w:val="clear" w:color="auto" w:fill="000000"/>
      </w:tcPr>
    </w:tblStylePr>
    <w:tblStylePr w:type="lastRow">
      <w:tblPr/>
      <w:tcPr>
        <w:tcBorders>
          <w:top w:val="single" w:sz="18" w:space="0" w:color="CEDFD9"/>
          <w:left w:val="nil"/>
          <w:bottom w:val="nil"/>
          <w:right w:val="nil"/>
          <w:insideH w:val="nil"/>
          <w:insideV w:val="nil"/>
        </w:tcBorders>
        <w:shd w:val="clear" w:color="auto" w:fill="243F60"/>
      </w:tcPr>
    </w:tblStylePr>
    <w:tblStylePr w:type="firstCol">
      <w:tblPr/>
      <w:tcPr>
        <w:tcBorders>
          <w:top w:val="nil"/>
          <w:left w:val="nil"/>
          <w:bottom w:val="nil"/>
          <w:right w:val="single" w:sz="18" w:space="0" w:color="CEDFD9"/>
          <w:insideH w:val="nil"/>
          <w:insideV w:val="nil"/>
        </w:tcBorders>
        <w:shd w:val="clear" w:color="auto" w:fill="365F91"/>
      </w:tcPr>
    </w:tblStylePr>
    <w:tblStylePr w:type="lastCol">
      <w:tblPr/>
      <w:tcPr>
        <w:tcBorders>
          <w:top w:val="nil"/>
          <w:left w:val="single" w:sz="18" w:space="0" w:color="CEDFD9"/>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836ACB"/>
    <w:rPr>
      <w:rFonts w:ascii="Times New Roman" w:hAnsi="Times New Roman"/>
      <w:color w:val="CEDFD9"/>
      <w:lang w:val="en-GB" w:eastAsia="ja-JP"/>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CEDFD9"/>
          <w:right w:val="nil"/>
          <w:insideH w:val="nil"/>
          <w:insideV w:val="nil"/>
        </w:tcBorders>
        <w:shd w:val="clear" w:color="auto" w:fill="000000"/>
      </w:tcPr>
    </w:tblStylePr>
    <w:tblStylePr w:type="lastRow">
      <w:tblPr/>
      <w:tcPr>
        <w:tcBorders>
          <w:top w:val="single" w:sz="18" w:space="0" w:color="CEDFD9"/>
          <w:left w:val="nil"/>
          <w:bottom w:val="nil"/>
          <w:right w:val="nil"/>
          <w:insideH w:val="nil"/>
          <w:insideV w:val="nil"/>
        </w:tcBorders>
        <w:shd w:val="clear" w:color="auto" w:fill="622423"/>
      </w:tcPr>
    </w:tblStylePr>
    <w:tblStylePr w:type="firstCol">
      <w:tblPr/>
      <w:tcPr>
        <w:tcBorders>
          <w:top w:val="nil"/>
          <w:left w:val="nil"/>
          <w:bottom w:val="nil"/>
          <w:right w:val="single" w:sz="18" w:space="0" w:color="CEDFD9"/>
          <w:insideH w:val="nil"/>
          <w:insideV w:val="nil"/>
        </w:tcBorders>
        <w:shd w:val="clear" w:color="auto" w:fill="943634"/>
      </w:tcPr>
    </w:tblStylePr>
    <w:tblStylePr w:type="lastCol">
      <w:tblPr/>
      <w:tcPr>
        <w:tcBorders>
          <w:top w:val="nil"/>
          <w:left w:val="single" w:sz="18" w:space="0" w:color="CEDFD9"/>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836ACB"/>
    <w:rPr>
      <w:rFonts w:ascii="Times New Roman" w:hAnsi="Times New Roman"/>
      <w:color w:val="CEDFD9"/>
      <w:lang w:val="en-GB" w:eastAsia="ja-JP"/>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CEDFD9"/>
          <w:right w:val="nil"/>
          <w:insideH w:val="nil"/>
          <w:insideV w:val="nil"/>
        </w:tcBorders>
        <w:shd w:val="clear" w:color="auto" w:fill="000000"/>
      </w:tcPr>
    </w:tblStylePr>
    <w:tblStylePr w:type="lastRow">
      <w:tblPr/>
      <w:tcPr>
        <w:tcBorders>
          <w:top w:val="single" w:sz="18" w:space="0" w:color="CEDFD9"/>
          <w:left w:val="nil"/>
          <w:bottom w:val="nil"/>
          <w:right w:val="nil"/>
          <w:insideH w:val="nil"/>
          <w:insideV w:val="nil"/>
        </w:tcBorders>
        <w:shd w:val="clear" w:color="auto" w:fill="4E6128"/>
      </w:tcPr>
    </w:tblStylePr>
    <w:tblStylePr w:type="firstCol">
      <w:tblPr/>
      <w:tcPr>
        <w:tcBorders>
          <w:top w:val="nil"/>
          <w:left w:val="nil"/>
          <w:bottom w:val="nil"/>
          <w:right w:val="single" w:sz="18" w:space="0" w:color="CEDFD9"/>
          <w:insideH w:val="nil"/>
          <w:insideV w:val="nil"/>
        </w:tcBorders>
        <w:shd w:val="clear" w:color="auto" w:fill="76923C"/>
      </w:tcPr>
    </w:tblStylePr>
    <w:tblStylePr w:type="lastCol">
      <w:tblPr/>
      <w:tcPr>
        <w:tcBorders>
          <w:top w:val="nil"/>
          <w:left w:val="single" w:sz="18" w:space="0" w:color="CEDFD9"/>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836ACB"/>
    <w:rPr>
      <w:rFonts w:ascii="Times New Roman" w:hAnsi="Times New Roman"/>
      <w:color w:val="CEDFD9"/>
      <w:lang w:val="en-GB" w:eastAsia="ja-JP"/>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CEDFD9"/>
          <w:right w:val="nil"/>
          <w:insideH w:val="nil"/>
          <w:insideV w:val="nil"/>
        </w:tcBorders>
        <w:shd w:val="clear" w:color="auto" w:fill="000000"/>
      </w:tcPr>
    </w:tblStylePr>
    <w:tblStylePr w:type="lastRow">
      <w:tblPr/>
      <w:tcPr>
        <w:tcBorders>
          <w:top w:val="single" w:sz="18" w:space="0" w:color="CEDFD9"/>
          <w:left w:val="nil"/>
          <w:bottom w:val="nil"/>
          <w:right w:val="nil"/>
          <w:insideH w:val="nil"/>
          <w:insideV w:val="nil"/>
        </w:tcBorders>
        <w:shd w:val="clear" w:color="auto" w:fill="3F3151"/>
      </w:tcPr>
    </w:tblStylePr>
    <w:tblStylePr w:type="firstCol">
      <w:tblPr/>
      <w:tcPr>
        <w:tcBorders>
          <w:top w:val="nil"/>
          <w:left w:val="nil"/>
          <w:bottom w:val="nil"/>
          <w:right w:val="single" w:sz="18" w:space="0" w:color="CEDFD9"/>
          <w:insideH w:val="nil"/>
          <w:insideV w:val="nil"/>
        </w:tcBorders>
        <w:shd w:val="clear" w:color="auto" w:fill="5F497A"/>
      </w:tcPr>
    </w:tblStylePr>
    <w:tblStylePr w:type="lastCol">
      <w:tblPr/>
      <w:tcPr>
        <w:tcBorders>
          <w:top w:val="nil"/>
          <w:left w:val="single" w:sz="18" w:space="0" w:color="CEDFD9"/>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836ACB"/>
    <w:rPr>
      <w:rFonts w:ascii="Times New Roman" w:hAnsi="Times New Roman"/>
      <w:color w:val="CEDFD9"/>
      <w:lang w:val="en-GB" w:eastAsia="ja-JP"/>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CEDFD9"/>
          <w:right w:val="nil"/>
          <w:insideH w:val="nil"/>
          <w:insideV w:val="nil"/>
        </w:tcBorders>
        <w:shd w:val="clear" w:color="auto" w:fill="000000"/>
      </w:tcPr>
    </w:tblStylePr>
    <w:tblStylePr w:type="lastRow">
      <w:tblPr/>
      <w:tcPr>
        <w:tcBorders>
          <w:top w:val="single" w:sz="18" w:space="0" w:color="CEDFD9"/>
          <w:left w:val="nil"/>
          <w:bottom w:val="nil"/>
          <w:right w:val="nil"/>
          <w:insideH w:val="nil"/>
          <w:insideV w:val="nil"/>
        </w:tcBorders>
        <w:shd w:val="clear" w:color="auto" w:fill="205867"/>
      </w:tcPr>
    </w:tblStylePr>
    <w:tblStylePr w:type="firstCol">
      <w:tblPr/>
      <w:tcPr>
        <w:tcBorders>
          <w:top w:val="nil"/>
          <w:left w:val="nil"/>
          <w:bottom w:val="nil"/>
          <w:right w:val="single" w:sz="18" w:space="0" w:color="CEDFD9"/>
          <w:insideH w:val="nil"/>
          <w:insideV w:val="nil"/>
        </w:tcBorders>
        <w:shd w:val="clear" w:color="auto" w:fill="31849B"/>
      </w:tcPr>
    </w:tblStylePr>
    <w:tblStylePr w:type="lastCol">
      <w:tblPr/>
      <w:tcPr>
        <w:tcBorders>
          <w:top w:val="nil"/>
          <w:left w:val="single" w:sz="18" w:space="0" w:color="CEDFD9"/>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836ACB"/>
    <w:rPr>
      <w:rFonts w:ascii="Times New Roman" w:hAnsi="Times New Roman"/>
      <w:color w:val="CEDFD9"/>
      <w:lang w:val="en-GB" w:eastAsia="ja-JP"/>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CEDFD9"/>
          <w:right w:val="nil"/>
          <w:insideH w:val="nil"/>
          <w:insideV w:val="nil"/>
        </w:tcBorders>
        <w:shd w:val="clear" w:color="auto" w:fill="000000"/>
      </w:tcPr>
    </w:tblStylePr>
    <w:tblStylePr w:type="lastRow">
      <w:tblPr/>
      <w:tcPr>
        <w:tcBorders>
          <w:top w:val="single" w:sz="18" w:space="0" w:color="CEDFD9"/>
          <w:left w:val="nil"/>
          <w:bottom w:val="nil"/>
          <w:right w:val="nil"/>
          <w:insideH w:val="nil"/>
          <w:insideV w:val="nil"/>
        </w:tcBorders>
        <w:shd w:val="clear" w:color="auto" w:fill="974706"/>
      </w:tcPr>
    </w:tblStylePr>
    <w:tblStylePr w:type="firstCol">
      <w:tblPr/>
      <w:tcPr>
        <w:tcBorders>
          <w:top w:val="nil"/>
          <w:left w:val="nil"/>
          <w:bottom w:val="nil"/>
          <w:right w:val="single" w:sz="18" w:space="0" w:color="CEDFD9"/>
          <w:insideH w:val="nil"/>
          <w:insideV w:val="nil"/>
        </w:tcBorders>
        <w:shd w:val="clear" w:color="auto" w:fill="E36C0A"/>
      </w:tcPr>
    </w:tblStylePr>
    <w:tblStylePr w:type="lastCol">
      <w:tblPr/>
      <w:tcPr>
        <w:tcBorders>
          <w:top w:val="nil"/>
          <w:left w:val="single" w:sz="18" w:space="0" w:color="CEDFD9"/>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836ACB"/>
  </w:style>
  <w:style w:type="character" w:customStyle="1" w:styleId="DateChar">
    <w:name w:val="Date Char"/>
    <w:link w:val="Date"/>
    <w:uiPriority w:val="99"/>
    <w:rsid w:val="00836ACB"/>
    <w:rPr>
      <w:sz w:val="24"/>
      <w:szCs w:val="24"/>
      <w:lang w:val="en-GB" w:eastAsia="ja-JP"/>
    </w:rPr>
  </w:style>
  <w:style w:type="paragraph" w:customStyle="1" w:styleId="DocNum">
    <w:name w:val="DocNum"/>
    <w:basedOn w:val="Normal"/>
    <w:uiPriority w:val="99"/>
    <w:rsid w:val="00836ACB"/>
    <w:pPr>
      <w:spacing w:after="0"/>
    </w:pPr>
    <w:rPr>
      <w:rFonts w:ascii="Cambria" w:hAnsi="Cambria" w:cs="Cambria"/>
      <w:sz w:val="14"/>
      <w:szCs w:val="14"/>
    </w:rPr>
  </w:style>
  <w:style w:type="paragraph" w:styleId="DocumentMap">
    <w:name w:val="Document Map"/>
    <w:basedOn w:val="Normal"/>
    <w:link w:val="DocumentMapChar"/>
    <w:uiPriority w:val="99"/>
    <w:semiHidden/>
    <w:rsid w:val="00836ACB"/>
    <w:pPr>
      <w:spacing w:after="0"/>
    </w:pPr>
    <w:rPr>
      <w:sz w:val="16"/>
      <w:szCs w:val="16"/>
    </w:rPr>
  </w:style>
  <w:style w:type="character" w:customStyle="1" w:styleId="DocumentMapChar">
    <w:name w:val="Document Map Char"/>
    <w:link w:val="DocumentMap"/>
    <w:uiPriority w:val="99"/>
    <w:rsid w:val="00836ACB"/>
    <w:rPr>
      <w:sz w:val="16"/>
      <w:szCs w:val="16"/>
      <w:lang w:val="en-GB" w:eastAsia="ja-JP"/>
    </w:rPr>
  </w:style>
  <w:style w:type="paragraph" w:customStyle="1" w:styleId="DocumentName">
    <w:name w:val="Document Name"/>
    <w:basedOn w:val="Normal"/>
    <w:next w:val="Normal"/>
    <w:uiPriority w:val="99"/>
    <w:rsid w:val="00836ACB"/>
    <w:rPr>
      <w:rFonts w:ascii="Cambria" w:eastAsia="MS PGothic" w:hAnsi="Cambria" w:cs="Cambria"/>
      <w:caps/>
      <w:sz w:val="36"/>
      <w:szCs w:val="36"/>
      <w:lang w:eastAsia="en-US"/>
    </w:rPr>
  </w:style>
  <w:style w:type="paragraph" w:customStyle="1" w:styleId="DraftMarkings">
    <w:name w:val="Draft Markings"/>
    <w:basedOn w:val="ClientNameCrossRef"/>
    <w:uiPriority w:val="99"/>
    <w:rsid w:val="00836ACB"/>
    <w:pPr>
      <w:spacing w:after="0" w:line="240" w:lineRule="auto"/>
      <w:jc w:val="right"/>
    </w:pPr>
    <w:rPr>
      <w:b/>
      <w:bCs/>
      <w:sz w:val="20"/>
      <w:szCs w:val="20"/>
    </w:rPr>
  </w:style>
  <w:style w:type="paragraph" w:styleId="E-mailSignature">
    <w:name w:val="E-mail Signature"/>
    <w:basedOn w:val="Normal"/>
    <w:link w:val="E-mailSignatureChar"/>
    <w:uiPriority w:val="99"/>
    <w:rsid w:val="00836ACB"/>
    <w:pPr>
      <w:spacing w:after="0"/>
    </w:pPr>
  </w:style>
  <w:style w:type="character" w:customStyle="1" w:styleId="E-mailSignatureChar">
    <w:name w:val="E-mail Signature Char"/>
    <w:link w:val="E-mailSignature"/>
    <w:uiPriority w:val="99"/>
    <w:rsid w:val="00836ACB"/>
    <w:rPr>
      <w:sz w:val="24"/>
      <w:szCs w:val="24"/>
      <w:lang w:val="en-GB" w:eastAsia="ja-JP"/>
    </w:rPr>
  </w:style>
  <w:style w:type="character" w:styleId="Emphasis">
    <w:name w:val="Emphasis"/>
    <w:uiPriority w:val="99"/>
    <w:qFormat/>
    <w:rsid w:val="00836ACB"/>
    <w:rPr>
      <w:i/>
      <w:iCs/>
      <w:sz w:val="24"/>
      <w:szCs w:val="24"/>
    </w:rPr>
  </w:style>
  <w:style w:type="paragraph" w:customStyle="1" w:styleId="EmployeeName">
    <w:name w:val="Employee Name"/>
    <w:basedOn w:val="Normal"/>
    <w:uiPriority w:val="99"/>
    <w:rsid w:val="00836ACB"/>
    <w:pPr>
      <w:spacing w:after="0" w:line="220" w:lineRule="atLeast"/>
      <w:ind w:left="6120"/>
    </w:pPr>
    <w:rPr>
      <w:rFonts w:ascii="Cambria" w:eastAsia="MS PGothic" w:hAnsi="Cambria" w:cs="Cambria"/>
      <w:b/>
      <w:bCs/>
      <w:sz w:val="17"/>
      <w:szCs w:val="17"/>
      <w:lang w:eastAsia="en-US"/>
    </w:rPr>
  </w:style>
  <w:style w:type="character" w:styleId="EndnoteReference">
    <w:name w:val="endnote reference"/>
    <w:uiPriority w:val="99"/>
    <w:semiHidden/>
    <w:rsid w:val="00836ACB"/>
    <w:rPr>
      <w:sz w:val="24"/>
      <w:szCs w:val="24"/>
      <w:vertAlign w:val="superscript"/>
    </w:rPr>
  </w:style>
  <w:style w:type="paragraph" w:styleId="EndnoteText">
    <w:name w:val="endnote text"/>
    <w:basedOn w:val="Normal"/>
    <w:link w:val="EndnoteTextChar"/>
    <w:uiPriority w:val="99"/>
    <w:semiHidden/>
    <w:rsid w:val="00836ACB"/>
    <w:pPr>
      <w:spacing w:after="0"/>
    </w:pPr>
  </w:style>
  <w:style w:type="character" w:customStyle="1" w:styleId="EndnoteTextChar">
    <w:name w:val="Endnote Text Char"/>
    <w:link w:val="EndnoteText"/>
    <w:uiPriority w:val="99"/>
    <w:rsid w:val="00836ACB"/>
    <w:rPr>
      <w:sz w:val="24"/>
      <w:szCs w:val="24"/>
      <w:lang w:val="en-GB" w:eastAsia="ja-JP"/>
    </w:rPr>
  </w:style>
  <w:style w:type="paragraph" w:styleId="EnvelopeAddress">
    <w:name w:val="envelope address"/>
    <w:basedOn w:val="Normal"/>
    <w:uiPriority w:val="99"/>
    <w:rsid w:val="00836ACB"/>
    <w:pPr>
      <w:framePr w:w="7920" w:h="1980" w:hRule="exact" w:hSpace="180" w:wrap="auto" w:hAnchor="page" w:xAlign="center" w:yAlign="bottom"/>
      <w:spacing w:after="0"/>
      <w:ind w:left="2880"/>
    </w:pPr>
    <w:rPr>
      <w:rFonts w:ascii="Cambria" w:hAnsi="Cambria" w:cs="Cambria"/>
    </w:rPr>
  </w:style>
  <w:style w:type="paragraph" w:styleId="EnvelopeReturn">
    <w:name w:val="envelope return"/>
    <w:basedOn w:val="Normal"/>
    <w:uiPriority w:val="99"/>
    <w:rsid w:val="00836ACB"/>
    <w:pPr>
      <w:spacing w:after="0"/>
    </w:pPr>
    <w:rPr>
      <w:rFonts w:ascii="Cambria" w:hAnsi="Cambria" w:cs="Cambria"/>
      <w:sz w:val="20"/>
      <w:szCs w:val="20"/>
    </w:rPr>
  </w:style>
  <w:style w:type="paragraph" w:customStyle="1" w:styleId="Exhibit">
    <w:name w:val="Exhibit"/>
    <w:basedOn w:val="Normal"/>
    <w:next w:val="Normal"/>
    <w:uiPriority w:val="99"/>
    <w:rsid w:val="00836ACB"/>
    <w:pPr>
      <w:keepLines/>
      <w:numPr>
        <w:numId w:val="6"/>
      </w:numPr>
      <w:spacing w:after="260"/>
    </w:pPr>
    <w:rPr>
      <w:i/>
      <w:iCs/>
    </w:rPr>
  </w:style>
  <w:style w:type="paragraph" w:customStyle="1" w:styleId="Filestamp">
    <w:name w:val="Filestamp"/>
    <w:basedOn w:val="Normal"/>
    <w:uiPriority w:val="99"/>
    <w:rsid w:val="00836ACB"/>
    <w:pPr>
      <w:spacing w:before="460" w:line="240" w:lineRule="atLeast"/>
    </w:pPr>
    <w:rPr>
      <w:noProof/>
      <w:sz w:val="10"/>
      <w:szCs w:val="10"/>
    </w:rPr>
  </w:style>
  <w:style w:type="character" w:styleId="FollowedHyperlink">
    <w:name w:val="FollowedHyperlink"/>
    <w:uiPriority w:val="99"/>
    <w:rsid w:val="00836ACB"/>
    <w:rPr>
      <w:color w:val="800080"/>
      <w:sz w:val="24"/>
      <w:szCs w:val="24"/>
      <w:u w:val="single"/>
    </w:rPr>
  </w:style>
  <w:style w:type="paragraph" w:styleId="Footer">
    <w:name w:val="footer"/>
    <w:basedOn w:val="Normal"/>
    <w:link w:val="FooterChar"/>
    <w:uiPriority w:val="99"/>
    <w:rsid w:val="00836ACB"/>
    <w:pPr>
      <w:tabs>
        <w:tab w:val="center" w:pos="4320"/>
        <w:tab w:val="right" w:pos="8640"/>
      </w:tabs>
    </w:pPr>
  </w:style>
  <w:style w:type="character" w:customStyle="1" w:styleId="FooterChar">
    <w:name w:val="Footer Char"/>
    <w:link w:val="Footer"/>
    <w:uiPriority w:val="99"/>
    <w:rsid w:val="00836ACB"/>
    <w:rPr>
      <w:sz w:val="24"/>
      <w:szCs w:val="24"/>
      <w:lang w:val="en-GB" w:eastAsia="ja-JP"/>
    </w:rPr>
  </w:style>
  <w:style w:type="character" w:styleId="FootnoteReference">
    <w:name w:val="footnote reference"/>
    <w:uiPriority w:val="99"/>
    <w:semiHidden/>
    <w:rsid w:val="00836ACB"/>
    <w:rPr>
      <w:sz w:val="24"/>
      <w:szCs w:val="24"/>
      <w:vertAlign w:val="superscript"/>
    </w:rPr>
  </w:style>
  <w:style w:type="paragraph" w:styleId="FootnoteText">
    <w:name w:val="footnote text"/>
    <w:basedOn w:val="Normal"/>
    <w:link w:val="FootnoteTextChar"/>
    <w:uiPriority w:val="99"/>
    <w:semiHidden/>
    <w:rsid w:val="00836ACB"/>
    <w:pPr>
      <w:spacing w:after="120"/>
      <w:ind w:left="360" w:hanging="360"/>
    </w:pPr>
    <w:rPr>
      <w:sz w:val="18"/>
      <w:szCs w:val="18"/>
    </w:rPr>
  </w:style>
  <w:style w:type="character" w:customStyle="1" w:styleId="FootnoteTextChar">
    <w:name w:val="Footnote Text Char"/>
    <w:link w:val="FootnoteText"/>
    <w:uiPriority w:val="99"/>
    <w:rsid w:val="00836ACB"/>
    <w:rPr>
      <w:sz w:val="18"/>
      <w:szCs w:val="18"/>
      <w:lang w:val="en-GB" w:eastAsia="ja-JP"/>
    </w:rPr>
  </w:style>
  <w:style w:type="paragraph" w:styleId="Header">
    <w:name w:val="header"/>
    <w:basedOn w:val="Normal"/>
    <w:link w:val="HeaderChar"/>
    <w:uiPriority w:val="99"/>
    <w:rsid w:val="00836ACB"/>
    <w:pPr>
      <w:tabs>
        <w:tab w:val="center" w:pos="4320"/>
        <w:tab w:val="right" w:pos="8640"/>
      </w:tabs>
    </w:pPr>
  </w:style>
  <w:style w:type="character" w:customStyle="1" w:styleId="HeaderChar">
    <w:name w:val="Header Char"/>
    <w:link w:val="Header"/>
    <w:uiPriority w:val="99"/>
    <w:rsid w:val="00836ACB"/>
    <w:rPr>
      <w:sz w:val="24"/>
      <w:szCs w:val="24"/>
      <w:lang w:val="en-GB" w:eastAsia="ja-JP"/>
    </w:rPr>
  </w:style>
  <w:style w:type="paragraph" w:customStyle="1" w:styleId="HeadingA">
    <w:name w:val="Heading A"/>
    <w:basedOn w:val="Heading1"/>
    <w:next w:val="Normal"/>
    <w:uiPriority w:val="99"/>
    <w:rsid w:val="00836ACB"/>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99"/>
    <w:rsid w:val="00836ACB"/>
    <w:pPr>
      <w:keepNext/>
      <w:numPr>
        <w:ilvl w:val="4"/>
        <w:numId w:val="8"/>
      </w:numPr>
      <w:spacing w:before="60" w:after="60"/>
      <w:outlineLvl w:val="4"/>
    </w:pPr>
    <w:rPr>
      <w:rFonts w:ascii="Cambria" w:hAnsi="Cambria" w:cs="Cambria"/>
      <w:b/>
      <w:bCs/>
    </w:rPr>
  </w:style>
  <w:style w:type="paragraph" w:customStyle="1" w:styleId="HeadingNumber2">
    <w:name w:val="Heading Number 2"/>
    <w:basedOn w:val="Normal"/>
    <w:next w:val="Normal"/>
    <w:uiPriority w:val="99"/>
    <w:rsid w:val="00836ACB"/>
    <w:pPr>
      <w:keepNext/>
      <w:numPr>
        <w:ilvl w:val="5"/>
        <w:numId w:val="8"/>
      </w:numPr>
      <w:spacing w:before="60" w:after="60"/>
      <w:outlineLvl w:val="5"/>
    </w:pPr>
    <w:rPr>
      <w:rFonts w:ascii="Cambria" w:hAnsi="Cambria" w:cs="Cambria"/>
    </w:rPr>
  </w:style>
  <w:style w:type="paragraph" w:customStyle="1" w:styleId="HeadingNumber3">
    <w:name w:val="Heading Number 3"/>
    <w:basedOn w:val="Normal"/>
    <w:next w:val="Normal"/>
    <w:uiPriority w:val="99"/>
    <w:rsid w:val="00836ACB"/>
    <w:pPr>
      <w:keepNext/>
      <w:numPr>
        <w:ilvl w:val="6"/>
        <w:numId w:val="8"/>
      </w:numPr>
      <w:spacing w:before="60" w:after="60"/>
      <w:outlineLvl w:val="6"/>
    </w:pPr>
    <w:rPr>
      <w:rFonts w:ascii="Cambria" w:hAnsi="Cambria" w:cs="Cambria"/>
      <w:b/>
      <w:bCs/>
      <w:sz w:val="20"/>
      <w:szCs w:val="20"/>
    </w:rPr>
  </w:style>
  <w:style w:type="paragraph" w:customStyle="1" w:styleId="HeadingNumber4">
    <w:name w:val="Heading Number 4"/>
    <w:basedOn w:val="Normal"/>
    <w:next w:val="Normal"/>
    <w:uiPriority w:val="99"/>
    <w:rsid w:val="00836ACB"/>
    <w:pPr>
      <w:keepNext/>
      <w:numPr>
        <w:ilvl w:val="7"/>
        <w:numId w:val="8"/>
      </w:numPr>
      <w:spacing w:before="60" w:after="60"/>
      <w:outlineLvl w:val="7"/>
    </w:pPr>
    <w:rPr>
      <w:rFonts w:ascii="Cambria" w:hAnsi="Cambria" w:cs="Cambria"/>
      <w:sz w:val="20"/>
      <w:szCs w:val="20"/>
    </w:rPr>
  </w:style>
  <w:style w:type="paragraph" w:customStyle="1" w:styleId="HeadingU">
    <w:name w:val="Heading U"/>
    <w:basedOn w:val="Heading1"/>
    <w:next w:val="BodyText"/>
    <w:uiPriority w:val="99"/>
    <w:rsid w:val="00836ACB"/>
    <w:pPr>
      <w:numPr>
        <w:numId w:val="0"/>
      </w:numPr>
    </w:pPr>
  </w:style>
  <w:style w:type="paragraph" w:customStyle="1" w:styleId="HeadingU2">
    <w:name w:val="Heading U2"/>
    <w:basedOn w:val="Heading2"/>
    <w:next w:val="BodyText"/>
    <w:uiPriority w:val="99"/>
    <w:rsid w:val="00836ACB"/>
    <w:pPr>
      <w:numPr>
        <w:ilvl w:val="0"/>
        <w:numId w:val="0"/>
      </w:numPr>
    </w:pPr>
  </w:style>
  <w:style w:type="paragraph" w:customStyle="1" w:styleId="HeadingU3">
    <w:name w:val="Heading U3"/>
    <w:basedOn w:val="Heading3"/>
    <w:next w:val="BodyText"/>
    <w:uiPriority w:val="99"/>
    <w:rsid w:val="00836ACB"/>
    <w:pPr>
      <w:numPr>
        <w:ilvl w:val="0"/>
        <w:numId w:val="0"/>
      </w:numPr>
    </w:pPr>
  </w:style>
  <w:style w:type="paragraph" w:customStyle="1" w:styleId="HeadingU4">
    <w:name w:val="Heading U4"/>
    <w:basedOn w:val="Heading4"/>
    <w:next w:val="BodyText"/>
    <w:uiPriority w:val="99"/>
    <w:rsid w:val="00836ACB"/>
    <w:pPr>
      <w:numPr>
        <w:ilvl w:val="0"/>
        <w:numId w:val="0"/>
      </w:numPr>
    </w:pPr>
  </w:style>
  <w:style w:type="paragraph" w:customStyle="1" w:styleId="HeadingU5">
    <w:name w:val="Heading U5"/>
    <w:basedOn w:val="Heading5"/>
    <w:next w:val="BodyText"/>
    <w:uiPriority w:val="99"/>
    <w:rsid w:val="00836ACB"/>
    <w:pPr>
      <w:numPr>
        <w:ilvl w:val="0"/>
        <w:numId w:val="0"/>
      </w:numPr>
    </w:pPr>
  </w:style>
  <w:style w:type="paragraph" w:customStyle="1" w:styleId="HeadingU6">
    <w:name w:val="Heading U6"/>
    <w:basedOn w:val="Heading6"/>
    <w:next w:val="BodyText"/>
    <w:uiPriority w:val="99"/>
    <w:rsid w:val="00836ACB"/>
    <w:pPr>
      <w:numPr>
        <w:ilvl w:val="0"/>
        <w:numId w:val="0"/>
      </w:numPr>
    </w:pPr>
  </w:style>
  <w:style w:type="paragraph" w:customStyle="1" w:styleId="HeadingU7">
    <w:name w:val="Heading U7"/>
    <w:basedOn w:val="Heading7"/>
    <w:next w:val="BodyText"/>
    <w:uiPriority w:val="99"/>
    <w:rsid w:val="00836ACB"/>
    <w:pPr>
      <w:numPr>
        <w:ilvl w:val="0"/>
        <w:numId w:val="0"/>
      </w:numPr>
    </w:pPr>
  </w:style>
  <w:style w:type="paragraph" w:customStyle="1" w:styleId="HeadingU8">
    <w:name w:val="Heading U8"/>
    <w:basedOn w:val="Heading8"/>
    <w:next w:val="BodyText"/>
    <w:uiPriority w:val="99"/>
    <w:rsid w:val="00836ACB"/>
    <w:pPr>
      <w:numPr>
        <w:ilvl w:val="0"/>
        <w:numId w:val="0"/>
      </w:numPr>
    </w:pPr>
  </w:style>
  <w:style w:type="paragraph" w:customStyle="1" w:styleId="HeadingU9">
    <w:name w:val="Heading U9"/>
    <w:basedOn w:val="Heading9"/>
    <w:next w:val="BodyText"/>
    <w:uiPriority w:val="99"/>
    <w:rsid w:val="00836ACB"/>
    <w:pPr>
      <w:numPr>
        <w:ilvl w:val="0"/>
        <w:numId w:val="0"/>
      </w:numPr>
    </w:pPr>
  </w:style>
  <w:style w:type="character" w:styleId="HTMLAcronym">
    <w:name w:val="HTML Acronym"/>
    <w:uiPriority w:val="99"/>
    <w:rsid w:val="00836ACB"/>
    <w:rPr>
      <w:sz w:val="24"/>
      <w:szCs w:val="24"/>
    </w:rPr>
  </w:style>
  <w:style w:type="paragraph" w:styleId="HTMLAddress">
    <w:name w:val="HTML Address"/>
    <w:basedOn w:val="Normal"/>
    <w:link w:val="HTMLAddressChar"/>
    <w:uiPriority w:val="99"/>
    <w:rsid w:val="00836ACB"/>
    <w:pPr>
      <w:spacing w:after="0"/>
    </w:pPr>
    <w:rPr>
      <w:i/>
      <w:iCs/>
    </w:rPr>
  </w:style>
  <w:style w:type="character" w:customStyle="1" w:styleId="HTMLAddressChar">
    <w:name w:val="HTML Address Char"/>
    <w:link w:val="HTMLAddress"/>
    <w:uiPriority w:val="99"/>
    <w:rsid w:val="00836ACB"/>
    <w:rPr>
      <w:i/>
      <w:iCs/>
      <w:sz w:val="24"/>
      <w:szCs w:val="24"/>
      <w:lang w:val="en-GB" w:eastAsia="ja-JP"/>
    </w:rPr>
  </w:style>
  <w:style w:type="character" w:styleId="HTMLCite">
    <w:name w:val="HTML Cite"/>
    <w:uiPriority w:val="99"/>
    <w:rsid w:val="00836ACB"/>
    <w:rPr>
      <w:i/>
      <w:iCs/>
      <w:sz w:val="24"/>
      <w:szCs w:val="24"/>
    </w:rPr>
  </w:style>
  <w:style w:type="character" w:styleId="HTMLCode">
    <w:name w:val="HTML Code"/>
    <w:uiPriority w:val="99"/>
    <w:rsid w:val="00836ACB"/>
    <w:rPr>
      <w:rFonts w:ascii="Consolas" w:hAnsi="Consolas" w:cs="Consolas"/>
      <w:sz w:val="20"/>
      <w:szCs w:val="20"/>
    </w:rPr>
  </w:style>
  <w:style w:type="character" w:styleId="HTMLDefinition">
    <w:name w:val="HTML Definition"/>
    <w:uiPriority w:val="99"/>
    <w:rsid w:val="00836ACB"/>
    <w:rPr>
      <w:i/>
      <w:iCs/>
      <w:sz w:val="24"/>
      <w:szCs w:val="24"/>
    </w:rPr>
  </w:style>
  <w:style w:type="character" w:styleId="HTMLKeyboard">
    <w:name w:val="HTML Keyboard"/>
    <w:uiPriority w:val="99"/>
    <w:rsid w:val="00836ACB"/>
    <w:rPr>
      <w:rFonts w:ascii="Consolas" w:hAnsi="Consolas" w:cs="Consolas"/>
      <w:sz w:val="20"/>
      <w:szCs w:val="20"/>
    </w:rPr>
  </w:style>
  <w:style w:type="paragraph" w:styleId="HTMLPreformatted">
    <w:name w:val="HTML Preformatted"/>
    <w:basedOn w:val="Normal"/>
    <w:link w:val="HTMLPreformattedChar"/>
    <w:uiPriority w:val="99"/>
    <w:rsid w:val="00836ACB"/>
    <w:pPr>
      <w:spacing w:after="0"/>
    </w:pPr>
    <w:rPr>
      <w:rFonts w:ascii="Consolas" w:hAnsi="Consolas" w:cs="Consolas"/>
    </w:rPr>
  </w:style>
  <w:style w:type="character" w:customStyle="1" w:styleId="HTMLPreformattedChar">
    <w:name w:val="HTML Preformatted Char"/>
    <w:link w:val="HTMLPreformatted"/>
    <w:uiPriority w:val="99"/>
    <w:rsid w:val="00836ACB"/>
    <w:rPr>
      <w:rFonts w:ascii="Consolas" w:hAnsi="Consolas" w:cs="Consolas"/>
      <w:sz w:val="24"/>
      <w:szCs w:val="24"/>
      <w:lang w:val="en-GB" w:eastAsia="ja-JP"/>
    </w:rPr>
  </w:style>
  <w:style w:type="character" w:styleId="HTMLSample">
    <w:name w:val="HTML Sample"/>
    <w:uiPriority w:val="99"/>
    <w:rsid w:val="00836ACB"/>
    <w:rPr>
      <w:rFonts w:ascii="Consolas" w:hAnsi="Consolas" w:cs="Consolas"/>
      <w:sz w:val="24"/>
      <w:szCs w:val="24"/>
    </w:rPr>
  </w:style>
  <w:style w:type="character" w:styleId="HTMLTypewriter">
    <w:name w:val="HTML Typewriter"/>
    <w:uiPriority w:val="99"/>
    <w:rsid w:val="00836ACB"/>
    <w:rPr>
      <w:rFonts w:ascii="Consolas" w:hAnsi="Consolas" w:cs="Consolas"/>
      <w:sz w:val="20"/>
      <w:szCs w:val="20"/>
    </w:rPr>
  </w:style>
  <w:style w:type="character" w:styleId="HTMLVariable">
    <w:name w:val="HTML Variable"/>
    <w:uiPriority w:val="99"/>
    <w:rsid w:val="00836ACB"/>
    <w:rPr>
      <w:i/>
      <w:iCs/>
      <w:sz w:val="24"/>
      <w:szCs w:val="24"/>
    </w:rPr>
  </w:style>
  <w:style w:type="character" w:styleId="Hyperlink">
    <w:name w:val="Hyperlink"/>
    <w:uiPriority w:val="99"/>
    <w:rsid w:val="00836ACB"/>
    <w:rPr>
      <w:color w:val="0000FF"/>
      <w:sz w:val="24"/>
      <w:szCs w:val="24"/>
      <w:u w:val="single"/>
    </w:rPr>
  </w:style>
  <w:style w:type="paragraph" w:styleId="Index1">
    <w:name w:val="index 1"/>
    <w:basedOn w:val="Normal"/>
    <w:next w:val="Normal"/>
    <w:autoRedefine/>
    <w:uiPriority w:val="99"/>
    <w:semiHidden/>
    <w:rsid w:val="00836ACB"/>
    <w:pPr>
      <w:spacing w:after="0"/>
      <w:ind w:left="240" w:hanging="240"/>
    </w:pPr>
  </w:style>
  <w:style w:type="paragraph" w:styleId="Index2">
    <w:name w:val="index 2"/>
    <w:basedOn w:val="Normal"/>
    <w:next w:val="Normal"/>
    <w:autoRedefine/>
    <w:uiPriority w:val="99"/>
    <w:semiHidden/>
    <w:rsid w:val="00836ACB"/>
    <w:pPr>
      <w:spacing w:after="0"/>
      <w:ind w:left="480" w:hanging="240"/>
    </w:pPr>
  </w:style>
  <w:style w:type="paragraph" w:styleId="Index3">
    <w:name w:val="index 3"/>
    <w:basedOn w:val="Normal"/>
    <w:next w:val="Normal"/>
    <w:autoRedefine/>
    <w:uiPriority w:val="99"/>
    <w:semiHidden/>
    <w:rsid w:val="00836ACB"/>
    <w:pPr>
      <w:spacing w:after="0"/>
      <w:ind w:left="720" w:hanging="240"/>
    </w:pPr>
  </w:style>
  <w:style w:type="paragraph" w:styleId="Index4">
    <w:name w:val="index 4"/>
    <w:basedOn w:val="Normal"/>
    <w:next w:val="Normal"/>
    <w:autoRedefine/>
    <w:uiPriority w:val="99"/>
    <w:semiHidden/>
    <w:rsid w:val="00836ACB"/>
    <w:pPr>
      <w:spacing w:after="0"/>
      <w:ind w:left="960" w:hanging="240"/>
    </w:pPr>
  </w:style>
  <w:style w:type="paragraph" w:styleId="Index5">
    <w:name w:val="index 5"/>
    <w:basedOn w:val="Normal"/>
    <w:next w:val="Normal"/>
    <w:autoRedefine/>
    <w:uiPriority w:val="99"/>
    <w:semiHidden/>
    <w:rsid w:val="00836ACB"/>
    <w:pPr>
      <w:spacing w:after="0"/>
      <w:ind w:left="1200" w:hanging="240"/>
    </w:pPr>
  </w:style>
  <w:style w:type="paragraph" w:styleId="Index6">
    <w:name w:val="index 6"/>
    <w:basedOn w:val="Normal"/>
    <w:next w:val="Normal"/>
    <w:autoRedefine/>
    <w:uiPriority w:val="99"/>
    <w:semiHidden/>
    <w:rsid w:val="00836ACB"/>
    <w:pPr>
      <w:spacing w:after="0"/>
      <w:ind w:left="1440" w:hanging="240"/>
    </w:pPr>
  </w:style>
  <w:style w:type="paragraph" w:styleId="Index7">
    <w:name w:val="index 7"/>
    <w:basedOn w:val="Normal"/>
    <w:next w:val="Normal"/>
    <w:autoRedefine/>
    <w:uiPriority w:val="99"/>
    <w:semiHidden/>
    <w:rsid w:val="00836ACB"/>
    <w:pPr>
      <w:spacing w:after="0"/>
      <w:ind w:left="1680" w:hanging="240"/>
    </w:pPr>
  </w:style>
  <w:style w:type="paragraph" w:styleId="Index8">
    <w:name w:val="index 8"/>
    <w:basedOn w:val="Normal"/>
    <w:next w:val="Normal"/>
    <w:autoRedefine/>
    <w:uiPriority w:val="99"/>
    <w:semiHidden/>
    <w:rsid w:val="00836ACB"/>
    <w:pPr>
      <w:spacing w:after="0"/>
      <w:ind w:left="1920" w:hanging="240"/>
    </w:pPr>
  </w:style>
  <w:style w:type="paragraph" w:styleId="Index9">
    <w:name w:val="index 9"/>
    <w:basedOn w:val="Normal"/>
    <w:next w:val="Normal"/>
    <w:autoRedefine/>
    <w:uiPriority w:val="99"/>
    <w:semiHidden/>
    <w:rsid w:val="00836ACB"/>
    <w:pPr>
      <w:spacing w:after="0"/>
      <w:ind w:left="2160" w:hanging="240"/>
    </w:pPr>
  </w:style>
  <w:style w:type="paragraph" w:styleId="IndexHeading">
    <w:name w:val="index heading"/>
    <w:basedOn w:val="Normal"/>
    <w:next w:val="Index1"/>
    <w:uiPriority w:val="99"/>
    <w:semiHidden/>
    <w:rsid w:val="00836ACB"/>
    <w:rPr>
      <w:rFonts w:ascii="Cambria" w:hAnsi="Cambria" w:cs="Cambria"/>
      <w:b/>
      <w:bCs/>
    </w:rPr>
  </w:style>
  <w:style w:type="character" w:styleId="IntenseEmphasis">
    <w:name w:val="Intense Emphasis"/>
    <w:uiPriority w:val="99"/>
    <w:qFormat/>
    <w:rsid w:val="00836ACB"/>
    <w:rPr>
      <w:b/>
      <w:bCs/>
      <w:i/>
      <w:iCs/>
      <w:color w:val="4F81BD"/>
      <w:sz w:val="24"/>
      <w:szCs w:val="24"/>
    </w:rPr>
  </w:style>
  <w:style w:type="paragraph" w:styleId="IntenseQuote">
    <w:name w:val="Intense Quote"/>
    <w:basedOn w:val="Normal"/>
    <w:next w:val="Normal"/>
    <w:link w:val="IntenseQuoteChar"/>
    <w:uiPriority w:val="99"/>
    <w:qFormat/>
    <w:rsid w:val="00836A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rsid w:val="00836ACB"/>
    <w:rPr>
      <w:b/>
      <w:bCs/>
      <w:i/>
      <w:iCs/>
      <w:color w:val="4F81BD"/>
      <w:sz w:val="24"/>
      <w:szCs w:val="24"/>
      <w:lang w:val="en-GB" w:eastAsia="ja-JP"/>
    </w:rPr>
  </w:style>
  <w:style w:type="character" w:styleId="IntenseReference">
    <w:name w:val="Intense Reference"/>
    <w:uiPriority w:val="99"/>
    <w:qFormat/>
    <w:rsid w:val="00836ACB"/>
    <w:rPr>
      <w:b/>
      <w:bCs/>
      <w:smallCaps/>
      <w:color w:val="C0504D"/>
      <w:spacing w:val="5"/>
      <w:sz w:val="24"/>
      <w:szCs w:val="24"/>
      <w:u w:val="single"/>
    </w:rPr>
  </w:style>
  <w:style w:type="paragraph" w:customStyle="1" w:styleId="Legalcopy">
    <w:name w:val="Legal copy"/>
    <w:basedOn w:val="Normal"/>
    <w:uiPriority w:val="99"/>
    <w:rsid w:val="00836ACB"/>
    <w:pPr>
      <w:framePr w:hSpace="187" w:vSpace="187" w:wrap="around" w:hAnchor="text" w:yAlign="bottom"/>
      <w:spacing w:after="90" w:line="130" w:lineRule="atLeast"/>
    </w:pPr>
    <w:rPr>
      <w:rFonts w:ascii="Cambria" w:eastAsia="MS PGothic" w:hAnsi="Cambria" w:cs="Cambria"/>
      <w:sz w:val="11"/>
      <w:szCs w:val="11"/>
      <w:lang w:eastAsia="en-US"/>
    </w:rPr>
  </w:style>
  <w:style w:type="paragraph" w:customStyle="1" w:styleId="LetterDate">
    <w:name w:val="Letter Date"/>
    <w:basedOn w:val="Normal"/>
    <w:next w:val="Normal"/>
    <w:uiPriority w:val="99"/>
    <w:rsid w:val="00836ACB"/>
    <w:pPr>
      <w:spacing w:line="360" w:lineRule="atLeast"/>
    </w:pPr>
    <w:rPr>
      <w:sz w:val="28"/>
      <w:szCs w:val="28"/>
    </w:rPr>
  </w:style>
  <w:style w:type="table" w:styleId="LightGrid">
    <w:name w:val="Light Grid"/>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PMingLiU"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PMingLiU"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PMingLiU" w:hAnsi="Cambria" w:cs="Cambria"/>
        <w:b/>
        <w:bCs/>
      </w:rPr>
    </w:tblStylePr>
    <w:tblStylePr w:type="lastCol">
      <w:rPr>
        <w:rFonts w:ascii="Cambria" w:eastAsia="PMingLiU"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PMingLiU"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PMingLiU"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Cambria"/>
        <w:b/>
        <w:bCs/>
      </w:rPr>
    </w:tblStylePr>
    <w:tblStylePr w:type="lastCol">
      <w:rPr>
        <w:rFonts w:ascii="Cambria" w:eastAsia="PMingLiU"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PMingLiU"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PMingLiU"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PMingLiU" w:hAnsi="Cambria" w:cs="Cambria"/>
        <w:b/>
        <w:bCs/>
      </w:rPr>
    </w:tblStylePr>
    <w:tblStylePr w:type="lastCol">
      <w:rPr>
        <w:rFonts w:ascii="Cambria" w:eastAsia="PMingLiU"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PMingLiU"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PMingLiU"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PMingLiU" w:hAnsi="Cambria" w:cs="Cambria"/>
        <w:b/>
        <w:bCs/>
      </w:rPr>
    </w:tblStylePr>
    <w:tblStylePr w:type="lastCol">
      <w:rPr>
        <w:rFonts w:ascii="Cambria" w:eastAsia="PMingLiU"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PMingLiU"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PMingLiU"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PMingLiU" w:hAnsi="Cambria" w:cs="Cambria"/>
        <w:b/>
        <w:bCs/>
      </w:rPr>
    </w:tblStylePr>
    <w:tblStylePr w:type="lastCol">
      <w:rPr>
        <w:rFonts w:ascii="Cambria" w:eastAsia="PMingLiU"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PMingLiU"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PMingLiU"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PMingLiU" w:hAnsi="Cambria" w:cs="Cambria"/>
        <w:b/>
        <w:bCs/>
      </w:rPr>
    </w:tblStylePr>
    <w:tblStylePr w:type="lastCol">
      <w:rPr>
        <w:rFonts w:ascii="Cambria" w:eastAsia="PMingLiU"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PMingLiU" w:hAnsi="Cambria"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PMingLiU" w:hAnsi="Cambria"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PMingLiU" w:hAnsi="Cambria" w:cs="Cambria"/>
        <w:b/>
        <w:bCs/>
      </w:rPr>
    </w:tblStylePr>
    <w:tblStylePr w:type="lastCol">
      <w:rPr>
        <w:rFonts w:ascii="Cambria" w:eastAsia="PMingLiU" w:hAnsi="Cambria"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CEDFD9"/>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CEDFD9"/>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CEDFD9"/>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CEDFD9"/>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CEDFD9"/>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CEDFD9"/>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b/>
        <w:bCs/>
        <w:color w:val="CEDFD9"/>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836ACB"/>
    <w:rPr>
      <w:rFonts w:ascii="Times New Roman" w:hAnsi="Times New Roman"/>
      <w:color w:val="365F91"/>
      <w:lang w:val="en-GB"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836ACB"/>
    <w:rPr>
      <w:rFonts w:ascii="Times New Roman" w:hAnsi="Times New Roman"/>
      <w:color w:val="943634"/>
      <w:lang w:val="en-GB" w:eastAsia="ja-JP"/>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836ACB"/>
    <w:rPr>
      <w:rFonts w:ascii="Times New Roman" w:hAnsi="Times New Roman"/>
      <w:color w:val="76923C"/>
      <w:lang w:val="en-GB" w:eastAsia="ja-JP"/>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836ACB"/>
    <w:rPr>
      <w:rFonts w:ascii="Times New Roman" w:hAnsi="Times New Roman"/>
      <w:color w:val="5F497A"/>
      <w:lang w:val="en-GB" w:eastAsia="ja-JP"/>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836ACB"/>
    <w:rPr>
      <w:rFonts w:ascii="Times New Roman" w:hAnsi="Times New Roman"/>
      <w:color w:val="31849B"/>
      <w:lang w:val="en-GB"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836ACB"/>
    <w:rPr>
      <w:rFonts w:ascii="Times New Roman" w:hAnsi="Times New Roman"/>
      <w:color w:val="E36C0A"/>
      <w:lang w:val="en-GB" w:eastAsia="ja-JP"/>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rsid w:val="00836ACB"/>
    <w:rPr>
      <w:sz w:val="24"/>
      <w:szCs w:val="24"/>
    </w:rPr>
  </w:style>
  <w:style w:type="paragraph" w:styleId="List">
    <w:name w:val="List"/>
    <w:basedOn w:val="Normal"/>
    <w:uiPriority w:val="99"/>
    <w:rsid w:val="00836ACB"/>
    <w:pPr>
      <w:ind w:left="283" w:hanging="283"/>
      <w:contextualSpacing/>
    </w:pPr>
  </w:style>
  <w:style w:type="paragraph" w:styleId="List2">
    <w:name w:val="List 2"/>
    <w:basedOn w:val="Normal"/>
    <w:uiPriority w:val="99"/>
    <w:rsid w:val="00836ACB"/>
    <w:pPr>
      <w:ind w:left="566" w:hanging="283"/>
      <w:contextualSpacing/>
    </w:pPr>
  </w:style>
  <w:style w:type="paragraph" w:styleId="List3">
    <w:name w:val="List 3"/>
    <w:basedOn w:val="Normal"/>
    <w:uiPriority w:val="99"/>
    <w:rsid w:val="00836ACB"/>
    <w:pPr>
      <w:ind w:left="849" w:hanging="283"/>
      <w:contextualSpacing/>
    </w:pPr>
  </w:style>
  <w:style w:type="paragraph" w:styleId="List4">
    <w:name w:val="List 4"/>
    <w:basedOn w:val="Normal"/>
    <w:uiPriority w:val="99"/>
    <w:rsid w:val="00836ACB"/>
    <w:pPr>
      <w:ind w:left="1132" w:hanging="283"/>
      <w:contextualSpacing/>
    </w:pPr>
  </w:style>
  <w:style w:type="paragraph" w:styleId="List5">
    <w:name w:val="List 5"/>
    <w:basedOn w:val="Normal"/>
    <w:uiPriority w:val="99"/>
    <w:rsid w:val="00836ACB"/>
    <w:pPr>
      <w:ind w:left="1415" w:hanging="283"/>
      <w:contextualSpacing/>
    </w:pPr>
  </w:style>
  <w:style w:type="paragraph" w:styleId="ListBullet">
    <w:name w:val="List Bullet"/>
    <w:basedOn w:val="Normal"/>
    <w:uiPriority w:val="99"/>
    <w:rsid w:val="00836ACB"/>
    <w:pPr>
      <w:numPr>
        <w:ilvl w:val="4"/>
        <w:numId w:val="10"/>
      </w:numPr>
      <w:spacing w:after="120" w:line="260" w:lineRule="atLeast"/>
      <w:outlineLvl w:val="4"/>
    </w:pPr>
    <w:rPr>
      <w:lang w:eastAsia="en-US"/>
    </w:rPr>
  </w:style>
  <w:style w:type="paragraph" w:styleId="ListBullet2">
    <w:name w:val="List Bullet 2"/>
    <w:basedOn w:val="Normal"/>
    <w:uiPriority w:val="99"/>
    <w:rsid w:val="00836ACB"/>
    <w:pPr>
      <w:numPr>
        <w:ilvl w:val="5"/>
        <w:numId w:val="10"/>
      </w:numPr>
      <w:spacing w:after="120" w:line="260" w:lineRule="atLeast"/>
      <w:outlineLvl w:val="5"/>
    </w:pPr>
    <w:rPr>
      <w:lang w:eastAsia="en-US"/>
    </w:rPr>
  </w:style>
  <w:style w:type="paragraph" w:styleId="ListBullet3">
    <w:name w:val="List Bullet 3"/>
    <w:basedOn w:val="Normal"/>
    <w:uiPriority w:val="99"/>
    <w:rsid w:val="00836ACB"/>
    <w:pPr>
      <w:numPr>
        <w:ilvl w:val="6"/>
        <w:numId w:val="10"/>
      </w:numPr>
      <w:spacing w:after="120" w:line="260" w:lineRule="atLeast"/>
      <w:outlineLvl w:val="6"/>
    </w:pPr>
    <w:rPr>
      <w:lang w:eastAsia="en-US"/>
    </w:rPr>
  </w:style>
  <w:style w:type="paragraph" w:styleId="ListBullet4">
    <w:name w:val="List Bullet 4"/>
    <w:basedOn w:val="Normal"/>
    <w:uiPriority w:val="99"/>
    <w:rsid w:val="00836ACB"/>
    <w:pPr>
      <w:numPr>
        <w:ilvl w:val="7"/>
        <w:numId w:val="10"/>
      </w:numPr>
      <w:spacing w:after="120" w:line="260" w:lineRule="atLeast"/>
      <w:outlineLvl w:val="7"/>
    </w:pPr>
    <w:rPr>
      <w:lang w:eastAsia="en-US"/>
    </w:rPr>
  </w:style>
  <w:style w:type="paragraph" w:styleId="ListBullet5">
    <w:name w:val="List Bullet 5"/>
    <w:basedOn w:val="Normal"/>
    <w:uiPriority w:val="99"/>
    <w:rsid w:val="00836ACB"/>
    <w:pPr>
      <w:numPr>
        <w:numId w:val="1"/>
      </w:numPr>
      <w:tabs>
        <w:tab w:val="clear" w:pos="360"/>
        <w:tab w:val="num" w:pos="1800"/>
      </w:tabs>
      <w:spacing w:after="120"/>
      <w:ind w:left="1800"/>
      <w:contextualSpacing/>
    </w:pPr>
  </w:style>
  <w:style w:type="paragraph" w:styleId="ListContinue">
    <w:name w:val="List Continue"/>
    <w:basedOn w:val="Normal"/>
    <w:uiPriority w:val="99"/>
    <w:rsid w:val="00836ACB"/>
    <w:pPr>
      <w:spacing w:after="120"/>
      <w:ind w:left="283"/>
      <w:contextualSpacing/>
    </w:pPr>
  </w:style>
  <w:style w:type="paragraph" w:styleId="ListContinue2">
    <w:name w:val="List Continue 2"/>
    <w:basedOn w:val="Normal"/>
    <w:uiPriority w:val="99"/>
    <w:rsid w:val="00836ACB"/>
    <w:pPr>
      <w:spacing w:after="120"/>
      <w:ind w:left="566"/>
      <w:contextualSpacing/>
    </w:pPr>
  </w:style>
  <w:style w:type="paragraph" w:styleId="ListContinue3">
    <w:name w:val="List Continue 3"/>
    <w:basedOn w:val="Normal"/>
    <w:uiPriority w:val="99"/>
    <w:rsid w:val="00836ACB"/>
    <w:pPr>
      <w:spacing w:after="120"/>
      <w:ind w:left="849"/>
      <w:contextualSpacing/>
    </w:pPr>
  </w:style>
  <w:style w:type="paragraph" w:styleId="ListContinue4">
    <w:name w:val="List Continue 4"/>
    <w:basedOn w:val="Normal"/>
    <w:uiPriority w:val="99"/>
    <w:rsid w:val="00836ACB"/>
    <w:pPr>
      <w:spacing w:after="120"/>
      <w:ind w:left="1132"/>
      <w:contextualSpacing/>
    </w:pPr>
  </w:style>
  <w:style w:type="paragraph" w:styleId="ListContinue5">
    <w:name w:val="List Continue 5"/>
    <w:basedOn w:val="Normal"/>
    <w:uiPriority w:val="99"/>
    <w:rsid w:val="00836ACB"/>
    <w:pPr>
      <w:spacing w:after="120"/>
      <w:ind w:left="1415"/>
      <w:contextualSpacing/>
    </w:pPr>
  </w:style>
  <w:style w:type="paragraph" w:styleId="ListNumber">
    <w:name w:val="List Number"/>
    <w:basedOn w:val="Normal"/>
    <w:uiPriority w:val="99"/>
    <w:rsid w:val="00836ACB"/>
    <w:pPr>
      <w:numPr>
        <w:ilvl w:val="5"/>
        <w:numId w:val="11"/>
      </w:numPr>
      <w:spacing w:after="120" w:line="260" w:lineRule="atLeast"/>
      <w:outlineLvl w:val="5"/>
    </w:pPr>
    <w:rPr>
      <w:lang w:eastAsia="en-US"/>
    </w:rPr>
  </w:style>
  <w:style w:type="paragraph" w:styleId="ListNumber2">
    <w:name w:val="List Number 2"/>
    <w:basedOn w:val="Normal"/>
    <w:uiPriority w:val="99"/>
    <w:rsid w:val="00836ACB"/>
    <w:pPr>
      <w:numPr>
        <w:ilvl w:val="6"/>
        <w:numId w:val="11"/>
      </w:numPr>
      <w:spacing w:after="120" w:line="260" w:lineRule="atLeast"/>
      <w:outlineLvl w:val="6"/>
    </w:pPr>
    <w:rPr>
      <w:lang w:eastAsia="en-US"/>
    </w:rPr>
  </w:style>
  <w:style w:type="paragraph" w:styleId="ListNumber3">
    <w:name w:val="List Number 3"/>
    <w:basedOn w:val="Normal"/>
    <w:uiPriority w:val="99"/>
    <w:rsid w:val="00836ACB"/>
    <w:pPr>
      <w:numPr>
        <w:ilvl w:val="7"/>
        <w:numId w:val="11"/>
      </w:numPr>
      <w:spacing w:after="120" w:line="260" w:lineRule="atLeast"/>
      <w:outlineLvl w:val="7"/>
    </w:pPr>
    <w:rPr>
      <w:lang w:eastAsia="en-US"/>
    </w:rPr>
  </w:style>
  <w:style w:type="paragraph" w:styleId="ListNumber4">
    <w:name w:val="List Number 4"/>
    <w:basedOn w:val="Normal"/>
    <w:uiPriority w:val="99"/>
    <w:rsid w:val="00836ACB"/>
    <w:pPr>
      <w:numPr>
        <w:ilvl w:val="8"/>
        <w:numId w:val="11"/>
      </w:numPr>
      <w:spacing w:after="120" w:line="260" w:lineRule="atLeast"/>
      <w:outlineLvl w:val="8"/>
    </w:pPr>
    <w:rPr>
      <w:lang w:eastAsia="en-US"/>
    </w:rPr>
  </w:style>
  <w:style w:type="paragraph" w:styleId="ListNumber5">
    <w:name w:val="List Number 5"/>
    <w:basedOn w:val="Normal"/>
    <w:uiPriority w:val="99"/>
    <w:rsid w:val="00836ACB"/>
    <w:pPr>
      <w:numPr>
        <w:numId w:val="3"/>
      </w:numPr>
      <w:tabs>
        <w:tab w:val="num" w:pos="1800"/>
      </w:tabs>
      <w:spacing w:after="120"/>
      <w:ind w:left="1800"/>
      <w:contextualSpacing/>
    </w:pPr>
  </w:style>
  <w:style w:type="paragraph" w:styleId="ListParagraph">
    <w:name w:val="List Paragraph"/>
    <w:basedOn w:val="Normal"/>
    <w:uiPriority w:val="99"/>
    <w:qFormat/>
    <w:rsid w:val="00836ACB"/>
    <w:pPr>
      <w:ind w:left="720"/>
    </w:pPr>
  </w:style>
  <w:style w:type="paragraph" w:customStyle="1" w:styleId="LogoHide">
    <w:name w:val="Logo Hide"/>
    <w:basedOn w:val="Normal"/>
    <w:uiPriority w:val="99"/>
    <w:rsid w:val="00836ACB"/>
    <w:pPr>
      <w:spacing w:line="20" w:lineRule="exact"/>
    </w:pPr>
    <w:rPr>
      <w:noProof/>
      <w:sz w:val="2"/>
      <w:szCs w:val="2"/>
    </w:rPr>
  </w:style>
  <w:style w:type="paragraph" w:styleId="MacroText">
    <w:name w:val="macro"/>
    <w:link w:val="MacroTextChar"/>
    <w:uiPriority w:val="99"/>
    <w:semiHidden/>
    <w:rsid w:val="00836AC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ja-JP"/>
    </w:rPr>
  </w:style>
  <w:style w:type="character" w:customStyle="1" w:styleId="MacroTextChar">
    <w:name w:val="Macro Text Char"/>
    <w:link w:val="MacroText"/>
    <w:uiPriority w:val="99"/>
    <w:semiHidden/>
    <w:rsid w:val="00836ACB"/>
    <w:rPr>
      <w:rFonts w:ascii="Consolas" w:hAnsi="Consolas" w:cs="Consolas"/>
      <w:lang w:val="en-GB" w:eastAsia="ja-JP"/>
    </w:rPr>
  </w:style>
  <w:style w:type="table" w:styleId="MediumGrid1">
    <w:name w:val="Medium Grid 1"/>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CEDFD9"/>
      </w:tcPr>
    </w:tblStylePr>
    <w:tblStylePr w:type="firstCol">
      <w:rPr>
        <w:b/>
        <w:bCs/>
        <w:color w:val="000000"/>
      </w:rPr>
      <w:tblPr/>
      <w:tcPr>
        <w:tcBorders>
          <w:top w:val="nil"/>
          <w:left w:val="nil"/>
          <w:bottom w:val="nil"/>
          <w:right w:val="nil"/>
          <w:insideH w:val="nil"/>
          <w:insideV w:val="nil"/>
        </w:tcBorders>
        <w:shd w:val="clear" w:color="auto" w:fill="CEDFD9"/>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CEDFD9"/>
      </w:tcPr>
    </w:tblStylePr>
  </w:style>
  <w:style w:type="table" w:styleId="MediumGrid2-Accent1">
    <w:name w:val="Medium Grid 2 Accent 1"/>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CEDFD9"/>
      </w:tcPr>
    </w:tblStylePr>
    <w:tblStylePr w:type="firstCol">
      <w:rPr>
        <w:b/>
        <w:bCs/>
        <w:color w:val="000000"/>
      </w:rPr>
      <w:tblPr/>
      <w:tcPr>
        <w:tcBorders>
          <w:top w:val="nil"/>
          <w:left w:val="nil"/>
          <w:bottom w:val="nil"/>
          <w:right w:val="nil"/>
          <w:insideH w:val="nil"/>
          <w:insideV w:val="nil"/>
        </w:tcBorders>
        <w:shd w:val="clear" w:color="auto" w:fill="CEDFD9"/>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CEDFD9"/>
      </w:tcPr>
    </w:tblStylePr>
  </w:style>
  <w:style w:type="table" w:styleId="MediumGrid2-Accent2">
    <w:name w:val="Medium Grid 2 Accent 2"/>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CEDFD9"/>
      </w:tcPr>
    </w:tblStylePr>
    <w:tblStylePr w:type="firstCol">
      <w:rPr>
        <w:b/>
        <w:bCs/>
        <w:color w:val="000000"/>
      </w:rPr>
      <w:tblPr/>
      <w:tcPr>
        <w:tcBorders>
          <w:top w:val="nil"/>
          <w:left w:val="nil"/>
          <w:bottom w:val="nil"/>
          <w:right w:val="nil"/>
          <w:insideH w:val="nil"/>
          <w:insideV w:val="nil"/>
        </w:tcBorders>
        <w:shd w:val="clear" w:color="auto" w:fill="CEDFD9"/>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CEDFD9"/>
      </w:tcPr>
    </w:tblStylePr>
  </w:style>
  <w:style w:type="table" w:styleId="MediumGrid2-Accent3">
    <w:name w:val="Medium Grid 2 Accent 3"/>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CEDFD9"/>
      </w:tcPr>
    </w:tblStylePr>
    <w:tblStylePr w:type="firstCol">
      <w:rPr>
        <w:b/>
        <w:bCs/>
        <w:color w:val="000000"/>
      </w:rPr>
      <w:tblPr/>
      <w:tcPr>
        <w:tcBorders>
          <w:top w:val="nil"/>
          <w:left w:val="nil"/>
          <w:bottom w:val="nil"/>
          <w:right w:val="nil"/>
          <w:insideH w:val="nil"/>
          <w:insideV w:val="nil"/>
        </w:tcBorders>
        <w:shd w:val="clear" w:color="auto" w:fill="CEDFD9"/>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CEDFD9"/>
      </w:tcPr>
    </w:tblStylePr>
  </w:style>
  <w:style w:type="table" w:styleId="MediumGrid2-Accent4">
    <w:name w:val="Medium Grid 2 Accent 4"/>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CEDFD9"/>
      </w:tcPr>
    </w:tblStylePr>
    <w:tblStylePr w:type="firstCol">
      <w:rPr>
        <w:b/>
        <w:bCs/>
        <w:color w:val="000000"/>
      </w:rPr>
      <w:tblPr/>
      <w:tcPr>
        <w:tcBorders>
          <w:top w:val="nil"/>
          <w:left w:val="nil"/>
          <w:bottom w:val="nil"/>
          <w:right w:val="nil"/>
          <w:insideH w:val="nil"/>
          <w:insideV w:val="nil"/>
        </w:tcBorders>
        <w:shd w:val="clear" w:color="auto" w:fill="CEDFD9"/>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CEDFD9"/>
      </w:tcPr>
    </w:tblStylePr>
  </w:style>
  <w:style w:type="table" w:styleId="MediumGrid2-Accent5">
    <w:name w:val="Medium Grid 2 Accent 5"/>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CEDFD9"/>
      </w:tcPr>
    </w:tblStylePr>
    <w:tblStylePr w:type="firstCol">
      <w:rPr>
        <w:b/>
        <w:bCs/>
        <w:color w:val="000000"/>
      </w:rPr>
      <w:tblPr/>
      <w:tcPr>
        <w:tcBorders>
          <w:top w:val="nil"/>
          <w:left w:val="nil"/>
          <w:bottom w:val="nil"/>
          <w:right w:val="nil"/>
          <w:insideH w:val="nil"/>
          <w:insideV w:val="nil"/>
        </w:tcBorders>
        <w:shd w:val="clear" w:color="auto" w:fill="CEDFD9"/>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CEDFD9"/>
      </w:tcPr>
    </w:tblStylePr>
  </w:style>
  <w:style w:type="table" w:styleId="MediumGrid2-Accent6">
    <w:name w:val="Medium Grid 2 Accent 6"/>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CEDFD9"/>
      </w:tcPr>
    </w:tblStylePr>
    <w:tblStylePr w:type="firstCol">
      <w:rPr>
        <w:b/>
        <w:bCs/>
        <w:color w:val="000000"/>
      </w:rPr>
      <w:tblPr/>
      <w:tcPr>
        <w:tcBorders>
          <w:top w:val="nil"/>
          <w:left w:val="nil"/>
          <w:bottom w:val="nil"/>
          <w:right w:val="nil"/>
          <w:insideH w:val="nil"/>
          <w:insideV w:val="nil"/>
        </w:tcBorders>
        <w:shd w:val="clear" w:color="auto" w:fill="CEDFD9"/>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CEDFD9"/>
      </w:tcPr>
    </w:tblStylePr>
  </w:style>
  <w:style w:type="table" w:styleId="MediumGrid3">
    <w:name w:val="Medium Grid 3"/>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EDFD9"/>
        <w:left w:val="single" w:sz="8" w:space="0" w:color="CEDFD9"/>
        <w:bottom w:val="single" w:sz="8" w:space="0" w:color="CEDFD9"/>
        <w:right w:val="single" w:sz="8" w:space="0" w:color="CEDFD9"/>
        <w:insideH w:val="single" w:sz="6" w:space="0" w:color="CEDFD9"/>
        <w:insideV w:val="single" w:sz="6" w:space="0" w:color="CEDFD9"/>
      </w:tblBorders>
      <w:tblCellMar>
        <w:top w:w="0" w:type="dxa"/>
        <w:left w:w="108" w:type="dxa"/>
        <w:bottom w:w="0" w:type="dxa"/>
        <w:right w:w="108" w:type="dxa"/>
      </w:tblCellMar>
    </w:tblPr>
    <w:tcPr>
      <w:shd w:val="clear" w:color="auto" w:fill="C0C0C0"/>
    </w:tcPr>
    <w:tblStylePr w:type="firstRow">
      <w:rPr>
        <w:b/>
        <w:bCs/>
        <w:i w:val="0"/>
        <w:iCs w:val="0"/>
        <w:color w:val="CEDFD9"/>
      </w:rPr>
      <w:tblPr/>
      <w:tcPr>
        <w:tcBorders>
          <w:top w:val="single" w:sz="8" w:space="0" w:color="CEDFD9"/>
          <w:left w:val="single" w:sz="8" w:space="0" w:color="CEDFD9"/>
          <w:bottom w:val="single" w:sz="24" w:space="0" w:color="CEDFD9"/>
          <w:right w:val="single" w:sz="8" w:space="0" w:color="CEDFD9"/>
          <w:insideH w:val="nil"/>
          <w:insideV w:val="single" w:sz="8" w:space="0" w:color="CEDFD9"/>
        </w:tcBorders>
        <w:shd w:val="clear" w:color="auto" w:fill="000000"/>
      </w:tcPr>
    </w:tblStylePr>
    <w:tblStylePr w:type="lastRow">
      <w:rPr>
        <w:b/>
        <w:bCs/>
        <w:i w:val="0"/>
        <w:iCs w:val="0"/>
        <w:color w:val="CEDFD9"/>
      </w:rPr>
      <w:tblPr/>
      <w:tcPr>
        <w:tcBorders>
          <w:top w:val="single" w:sz="24" w:space="0" w:color="CEDFD9"/>
          <w:left w:val="single" w:sz="8" w:space="0" w:color="CEDFD9"/>
          <w:bottom w:val="single" w:sz="8" w:space="0" w:color="CEDFD9"/>
          <w:right w:val="single" w:sz="8" w:space="0" w:color="CEDFD9"/>
          <w:insideH w:val="nil"/>
          <w:insideV w:val="single" w:sz="8" w:space="0" w:color="CEDFD9"/>
        </w:tcBorders>
        <w:shd w:val="clear" w:color="auto" w:fill="000000"/>
      </w:tcPr>
    </w:tblStylePr>
    <w:tblStylePr w:type="firstCol">
      <w:rPr>
        <w:b/>
        <w:bCs/>
        <w:i w:val="0"/>
        <w:iCs w:val="0"/>
        <w:color w:val="CEDFD9"/>
      </w:rPr>
      <w:tblPr/>
      <w:tcPr>
        <w:tcBorders>
          <w:left w:val="single" w:sz="8" w:space="0" w:color="CEDFD9"/>
          <w:right w:val="single" w:sz="24" w:space="0" w:color="CEDFD9"/>
          <w:insideH w:val="nil"/>
          <w:insideV w:val="nil"/>
        </w:tcBorders>
        <w:shd w:val="clear" w:color="auto" w:fill="000000"/>
      </w:tcPr>
    </w:tblStylePr>
    <w:tblStylePr w:type="lastCol">
      <w:rPr>
        <w:b/>
        <w:bCs/>
        <w:i w:val="0"/>
        <w:iCs w:val="0"/>
        <w:color w:val="CEDFD9"/>
      </w:rPr>
      <w:tblPr/>
      <w:tcPr>
        <w:tcBorders>
          <w:top w:val="nil"/>
          <w:left w:val="single" w:sz="24" w:space="0" w:color="CEDFD9"/>
          <w:bottom w:val="nil"/>
          <w:right w:val="nil"/>
          <w:insideH w:val="nil"/>
          <w:insideV w:val="nil"/>
        </w:tcBorders>
        <w:shd w:val="clear" w:color="auto" w:fill="000000"/>
      </w:tcPr>
    </w:tblStylePr>
    <w:tblStylePr w:type="band1Vert">
      <w:tblPr/>
      <w:tcPr>
        <w:tcBorders>
          <w:top w:val="single" w:sz="8" w:space="0" w:color="CEDFD9"/>
          <w:left w:val="single" w:sz="8" w:space="0" w:color="CEDFD9"/>
          <w:bottom w:val="single" w:sz="8" w:space="0" w:color="CEDFD9"/>
          <w:right w:val="single" w:sz="8" w:space="0" w:color="CEDFD9"/>
          <w:insideH w:val="nil"/>
          <w:insideV w:val="nil"/>
        </w:tcBorders>
        <w:shd w:val="clear" w:color="auto" w:fill="808080"/>
      </w:tcPr>
    </w:tblStylePr>
    <w:tblStylePr w:type="band1Horz">
      <w:tblPr/>
      <w:tcPr>
        <w:tcBorders>
          <w:top w:val="single" w:sz="8" w:space="0" w:color="CEDFD9"/>
          <w:left w:val="single" w:sz="8" w:space="0" w:color="CEDFD9"/>
          <w:bottom w:val="single" w:sz="8" w:space="0" w:color="CEDFD9"/>
          <w:right w:val="single" w:sz="8" w:space="0" w:color="CEDFD9"/>
          <w:insideH w:val="single" w:sz="8" w:space="0" w:color="CEDFD9"/>
          <w:insideV w:val="single" w:sz="8" w:space="0" w:color="CEDFD9"/>
        </w:tcBorders>
        <w:shd w:val="clear" w:color="auto" w:fill="808080"/>
      </w:tcPr>
    </w:tblStylePr>
  </w:style>
  <w:style w:type="table" w:styleId="MediumGrid3-Accent1">
    <w:name w:val="Medium Grid 3 Accent 1"/>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EDFD9"/>
        <w:left w:val="single" w:sz="8" w:space="0" w:color="CEDFD9"/>
        <w:bottom w:val="single" w:sz="8" w:space="0" w:color="CEDFD9"/>
        <w:right w:val="single" w:sz="8" w:space="0" w:color="CEDFD9"/>
        <w:insideH w:val="single" w:sz="6" w:space="0" w:color="CEDFD9"/>
        <w:insideV w:val="single" w:sz="6" w:space="0" w:color="CEDFD9"/>
      </w:tblBorders>
      <w:tblCellMar>
        <w:top w:w="0" w:type="dxa"/>
        <w:left w:w="108" w:type="dxa"/>
        <w:bottom w:w="0" w:type="dxa"/>
        <w:right w:w="108" w:type="dxa"/>
      </w:tblCellMar>
    </w:tblPr>
    <w:tcPr>
      <w:shd w:val="clear" w:color="auto" w:fill="D3DFEE"/>
    </w:tcPr>
    <w:tblStylePr w:type="firstRow">
      <w:rPr>
        <w:b/>
        <w:bCs/>
        <w:i w:val="0"/>
        <w:iCs w:val="0"/>
        <w:color w:val="CEDFD9"/>
      </w:rPr>
      <w:tblPr/>
      <w:tcPr>
        <w:tcBorders>
          <w:top w:val="single" w:sz="8" w:space="0" w:color="CEDFD9"/>
          <w:left w:val="single" w:sz="8" w:space="0" w:color="CEDFD9"/>
          <w:bottom w:val="single" w:sz="24" w:space="0" w:color="CEDFD9"/>
          <w:right w:val="single" w:sz="8" w:space="0" w:color="CEDFD9"/>
          <w:insideH w:val="nil"/>
          <w:insideV w:val="single" w:sz="8" w:space="0" w:color="CEDFD9"/>
        </w:tcBorders>
        <w:shd w:val="clear" w:color="auto" w:fill="4F81BD"/>
      </w:tcPr>
    </w:tblStylePr>
    <w:tblStylePr w:type="lastRow">
      <w:rPr>
        <w:b/>
        <w:bCs/>
        <w:i w:val="0"/>
        <w:iCs w:val="0"/>
        <w:color w:val="CEDFD9"/>
      </w:rPr>
      <w:tblPr/>
      <w:tcPr>
        <w:tcBorders>
          <w:top w:val="single" w:sz="24" w:space="0" w:color="CEDFD9"/>
          <w:left w:val="single" w:sz="8" w:space="0" w:color="CEDFD9"/>
          <w:bottom w:val="single" w:sz="8" w:space="0" w:color="CEDFD9"/>
          <w:right w:val="single" w:sz="8" w:space="0" w:color="CEDFD9"/>
          <w:insideH w:val="nil"/>
          <w:insideV w:val="single" w:sz="8" w:space="0" w:color="CEDFD9"/>
        </w:tcBorders>
        <w:shd w:val="clear" w:color="auto" w:fill="4F81BD"/>
      </w:tcPr>
    </w:tblStylePr>
    <w:tblStylePr w:type="firstCol">
      <w:rPr>
        <w:b/>
        <w:bCs/>
        <w:i w:val="0"/>
        <w:iCs w:val="0"/>
        <w:color w:val="CEDFD9"/>
      </w:rPr>
      <w:tblPr/>
      <w:tcPr>
        <w:tcBorders>
          <w:left w:val="single" w:sz="8" w:space="0" w:color="CEDFD9"/>
          <w:right w:val="single" w:sz="24" w:space="0" w:color="CEDFD9"/>
          <w:insideH w:val="nil"/>
          <w:insideV w:val="nil"/>
        </w:tcBorders>
        <w:shd w:val="clear" w:color="auto" w:fill="4F81BD"/>
      </w:tcPr>
    </w:tblStylePr>
    <w:tblStylePr w:type="lastCol">
      <w:rPr>
        <w:b/>
        <w:bCs/>
        <w:i w:val="0"/>
        <w:iCs w:val="0"/>
        <w:color w:val="CEDFD9"/>
      </w:rPr>
      <w:tblPr/>
      <w:tcPr>
        <w:tcBorders>
          <w:top w:val="nil"/>
          <w:left w:val="single" w:sz="24" w:space="0" w:color="CEDFD9"/>
          <w:bottom w:val="nil"/>
          <w:right w:val="nil"/>
          <w:insideH w:val="nil"/>
          <w:insideV w:val="nil"/>
        </w:tcBorders>
        <w:shd w:val="clear" w:color="auto" w:fill="4F81BD"/>
      </w:tcPr>
    </w:tblStylePr>
    <w:tblStylePr w:type="band1Vert">
      <w:tblPr/>
      <w:tcPr>
        <w:tcBorders>
          <w:top w:val="single" w:sz="8" w:space="0" w:color="CEDFD9"/>
          <w:left w:val="single" w:sz="8" w:space="0" w:color="CEDFD9"/>
          <w:bottom w:val="single" w:sz="8" w:space="0" w:color="CEDFD9"/>
          <w:right w:val="single" w:sz="8" w:space="0" w:color="CEDFD9"/>
          <w:insideH w:val="nil"/>
          <w:insideV w:val="nil"/>
        </w:tcBorders>
        <w:shd w:val="clear" w:color="auto" w:fill="A7BFDE"/>
      </w:tcPr>
    </w:tblStylePr>
    <w:tblStylePr w:type="band1Horz">
      <w:tblPr/>
      <w:tcPr>
        <w:tcBorders>
          <w:top w:val="single" w:sz="8" w:space="0" w:color="CEDFD9"/>
          <w:left w:val="single" w:sz="8" w:space="0" w:color="CEDFD9"/>
          <w:bottom w:val="single" w:sz="8" w:space="0" w:color="CEDFD9"/>
          <w:right w:val="single" w:sz="8" w:space="0" w:color="CEDFD9"/>
          <w:insideH w:val="single" w:sz="8" w:space="0" w:color="CEDFD9"/>
          <w:insideV w:val="single" w:sz="8" w:space="0" w:color="CEDFD9"/>
        </w:tcBorders>
        <w:shd w:val="clear" w:color="auto" w:fill="A7BFDE"/>
      </w:tcPr>
    </w:tblStylePr>
  </w:style>
  <w:style w:type="table" w:styleId="MediumGrid3-Accent2">
    <w:name w:val="Medium Grid 3 Accent 2"/>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EDFD9"/>
        <w:left w:val="single" w:sz="8" w:space="0" w:color="CEDFD9"/>
        <w:bottom w:val="single" w:sz="8" w:space="0" w:color="CEDFD9"/>
        <w:right w:val="single" w:sz="8" w:space="0" w:color="CEDFD9"/>
        <w:insideH w:val="single" w:sz="6" w:space="0" w:color="CEDFD9"/>
        <w:insideV w:val="single" w:sz="6" w:space="0" w:color="CEDFD9"/>
      </w:tblBorders>
      <w:tblCellMar>
        <w:top w:w="0" w:type="dxa"/>
        <w:left w:w="108" w:type="dxa"/>
        <w:bottom w:w="0" w:type="dxa"/>
        <w:right w:w="108" w:type="dxa"/>
      </w:tblCellMar>
    </w:tblPr>
    <w:tcPr>
      <w:shd w:val="clear" w:color="auto" w:fill="EFD3D2"/>
    </w:tcPr>
    <w:tblStylePr w:type="firstRow">
      <w:rPr>
        <w:b/>
        <w:bCs/>
        <w:i w:val="0"/>
        <w:iCs w:val="0"/>
        <w:color w:val="CEDFD9"/>
      </w:rPr>
      <w:tblPr/>
      <w:tcPr>
        <w:tcBorders>
          <w:top w:val="single" w:sz="8" w:space="0" w:color="CEDFD9"/>
          <w:left w:val="single" w:sz="8" w:space="0" w:color="CEDFD9"/>
          <w:bottom w:val="single" w:sz="24" w:space="0" w:color="CEDFD9"/>
          <w:right w:val="single" w:sz="8" w:space="0" w:color="CEDFD9"/>
          <w:insideH w:val="nil"/>
          <w:insideV w:val="single" w:sz="8" w:space="0" w:color="CEDFD9"/>
        </w:tcBorders>
        <w:shd w:val="clear" w:color="auto" w:fill="C0504D"/>
      </w:tcPr>
    </w:tblStylePr>
    <w:tblStylePr w:type="lastRow">
      <w:rPr>
        <w:b/>
        <w:bCs/>
        <w:i w:val="0"/>
        <w:iCs w:val="0"/>
        <w:color w:val="CEDFD9"/>
      </w:rPr>
      <w:tblPr/>
      <w:tcPr>
        <w:tcBorders>
          <w:top w:val="single" w:sz="24" w:space="0" w:color="CEDFD9"/>
          <w:left w:val="single" w:sz="8" w:space="0" w:color="CEDFD9"/>
          <w:bottom w:val="single" w:sz="8" w:space="0" w:color="CEDFD9"/>
          <w:right w:val="single" w:sz="8" w:space="0" w:color="CEDFD9"/>
          <w:insideH w:val="nil"/>
          <w:insideV w:val="single" w:sz="8" w:space="0" w:color="CEDFD9"/>
        </w:tcBorders>
        <w:shd w:val="clear" w:color="auto" w:fill="C0504D"/>
      </w:tcPr>
    </w:tblStylePr>
    <w:tblStylePr w:type="firstCol">
      <w:rPr>
        <w:b/>
        <w:bCs/>
        <w:i w:val="0"/>
        <w:iCs w:val="0"/>
        <w:color w:val="CEDFD9"/>
      </w:rPr>
      <w:tblPr/>
      <w:tcPr>
        <w:tcBorders>
          <w:left w:val="single" w:sz="8" w:space="0" w:color="CEDFD9"/>
          <w:right w:val="single" w:sz="24" w:space="0" w:color="CEDFD9"/>
          <w:insideH w:val="nil"/>
          <w:insideV w:val="nil"/>
        </w:tcBorders>
        <w:shd w:val="clear" w:color="auto" w:fill="C0504D"/>
      </w:tcPr>
    </w:tblStylePr>
    <w:tblStylePr w:type="lastCol">
      <w:rPr>
        <w:b/>
        <w:bCs/>
        <w:i w:val="0"/>
        <w:iCs w:val="0"/>
        <w:color w:val="CEDFD9"/>
      </w:rPr>
      <w:tblPr/>
      <w:tcPr>
        <w:tcBorders>
          <w:top w:val="nil"/>
          <w:left w:val="single" w:sz="24" w:space="0" w:color="CEDFD9"/>
          <w:bottom w:val="nil"/>
          <w:right w:val="nil"/>
          <w:insideH w:val="nil"/>
          <w:insideV w:val="nil"/>
        </w:tcBorders>
        <w:shd w:val="clear" w:color="auto" w:fill="C0504D"/>
      </w:tcPr>
    </w:tblStylePr>
    <w:tblStylePr w:type="band1Vert">
      <w:tblPr/>
      <w:tcPr>
        <w:tcBorders>
          <w:top w:val="single" w:sz="8" w:space="0" w:color="CEDFD9"/>
          <w:left w:val="single" w:sz="8" w:space="0" w:color="CEDFD9"/>
          <w:bottom w:val="single" w:sz="8" w:space="0" w:color="CEDFD9"/>
          <w:right w:val="single" w:sz="8" w:space="0" w:color="CEDFD9"/>
          <w:insideH w:val="nil"/>
          <w:insideV w:val="nil"/>
        </w:tcBorders>
        <w:shd w:val="clear" w:color="auto" w:fill="DFA7A6"/>
      </w:tcPr>
    </w:tblStylePr>
    <w:tblStylePr w:type="band1Horz">
      <w:tblPr/>
      <w:tcPr>
        <w:tcBorders>
          <w:top w:val="single" w:sz="8" w:space="0" w:color="CEDFD9"/>
          <w:left w:val="single" w:sz="8" w:space="0" w:color="CEDFD9"/>
          <w:bottom w:val="single" w:sz="8" w:space="0" w:color="CEDFD9"/>
          <w:right w:val="single" w:sz="8" w:space="0" w:color="CEDFD9"/>
          <w:insideH w:val="single" w:sz="8" w:space="0" w:color="CEDFD9"/>
          <w:insideV w:val="single" w:sz="8" w:space="0" w:color="CEDFD9"/>
        </w:tcBorders>
        <w:shd w:val="clear" w:color="auto" w:fill="DFA7A6"/>
      </w:tcPr>
    </w:tblStylePr>
  </w:style>
  <w:style w:type="table" w:styleId="MediumGrid3-Accent3">
    <w:name w:val="Medium Grid 3 Accent 3"/>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EDFD9"/>
        <w:left w:val="single" w:sz="8" w:space="0" w:color="CEDFD9"/>
        <w:bottom w:val="single" w:sz="8" w:space="0" w:color="CEDFD9"/>
        <w:right w:val="single" w:sz="8" w:space="0" w:color="CEDFD9"/>
        <w:insideH w:val="single" w:sz="6" w:space="0" w:color="CEDFD9"/>
        <w:insideV w:val="single" w:sz="6" w:space="0" w:color="CEDFD9"/>
      </w:tblBorders>
      <w:tblCellMar>
        <w:top w:w="0" w:type="dxa"/>
        <w:left w:w="108" w:type="dxa"/>
        <w:bottom w:w="0" w:type="dxa"/>
        <w:right w:w="108" w:type="dxa"/>
      </w:tblCellMar>
    </w:tblPr>
    <w:tcPr>
      <w:shd w:val="clear" w:color="auto" w:fill="E6EED5"/>
    </w:tcPr>
    <w:tblStylePr w:type="firstRow">
      <w:rPr>
        <w:b/>
        <w:bCs/>
        <w:i w:val="0"/>
        <w:iCs w:val="0"/>
        <w:color w:val="CEDFD9"/>
      </w:rPr>
      <w:tblPr/>
      <w:tcPr>
        <w:tcBorders>
          <w:top w:val="single" w:sz="8" w:space="0" w:color="CEDFD9"/>
          <w:left w:val="single" w:sz="8" w:space="0" w:color="CEDFD9"/>
          <w:bottom w:val="single" w:sz="24" w:space="0" w:color="CEDFD9"/>
          <w:right w:val="single" w:sz="8" w:space="0" w:color="CEDFD9"/>
          <w:insideH w:val="nil"/>
          <w:insideV w:val="single" w:sz="8" w:space="0" w:color="CEDFD9"/>
        </w:tcBorders>
        <w:shd w:val="clear" w:color="auto" w:fill="9BBB59"/>
      </w:tcPr>
    </w:tblStylePr>
    <w:tblStylePr w:type="lastRow">
      <w:rPr>
        <w:b/>
        <w:bCs/>
        <w:i w:val="0"/>
        <w:iCs w:val="0"/>
        <w:color w:val="CEDFD9"/>
      </w:rPr>
      <w:tblPr/>
      <w:tcPr>
        <w:tcBorders>
          <w:top w:val="single" w:sz="24" w:space="0" w:color="CEDFD9"/>
          <w:left w:val="single" w:sz="8" w:space="0" w:color="CEDFD9"/>
          <w:bottom w:val="single" w:sz="8" w:space="0" w:color="CEDFD9"/>
          <w:right w:val="single" w:sz="8" w:space="0" w:color="CEDFD9"/>
          <w:insideH w:val="nil"/>
          <w:insideV w:val="single" w:sz="8" w:space="0" w:color="CEDFD9"/>
        </w:tcBorders>
        <w:shd w:val="clear" w:color="auto" w:fill="9BBB59"/>
      </w:tcPr>
    </w:tblStylePr>
    <w:tblStylePr w:type="firstCol">
      <w:rPr>
        <w:b/>
        <w:bCs/>
        <w:i w:val="0"/>
        <w:iCs w:val="0"/>
        <w:color w:val="CEDFD9"/>
      </w:rPr>
      <w:tblPr/>
      <w:tcPr>
        <w:tcBorders>
          <w:left w:val="single" w:sz="8" w:space="0" w:color="CEDFD9"/>
          <w:right w:val="single" w:sz="24" w:space="0" w:color="CEDFD9"/>
          <w:insideH w:val="nil"/>
          <w:insideV w:val="nil"/>
        </w:tcBorders>
        <w:shd w:val="clear" w:color="auto" w:fill="9BBB59"/>
      </w:tcPr>
    </w:tblStylePr>
    <w:tblStylePr w:type="lastCol">
      <w:rPr>
        <w:b/>
        <w:bCs/>
        <w:i w:val="0"/>
        <w:iCs w:val="0"/>
        <w:color w:val="CEDFD9"/>
      </w:rPr>
      <w:tblPr/>
      <w:tcPr>
        <w:tcBorders>
          <w:top w:val="nil"/>
          <w:left w:val="single" w:sz="24" w:space="0" w:color="CEDFD9"/>
          <w:bottom w:val="nil"/>
          <w:right w:val="nil"/>
          <w:insideH w:val="nil"/>
          <w:insideV w:val="nil"/>
        </w:tcBorders>
        <w:shd w:val="clear" w:color="auto" w:fill="9BBB59"/>
      </w:tcPr>
    </w:tblStylePr>
    <w:tblStylePr w:type="band1Vert">
      <w:tblPr/>
      <w:tcPr>
        <w:tcBorders>
          <w:top w:val="single" w:sz="8" w:space="0" w:color="CEDFD9"/>
          <w:left w:val="single" w:sz="8" w:space="0" w:color="CEDFD9"/>
          <w:bottom w:val="single" w:sz="8" w:space="0" w:color="CEDFD9"/>
          <w:right w:val="single" w:sz="8" w:space="0" w:color="CEDFD9"/>
          <w:insideH w:val="nil"/>
          <w:insideV w:val="nil"/>
        </w:tcBorders>
        <w:shd w:val="clear" w:color="auto" w:fill="CDDDAC"/>
      </w:tcPr>
    </w:tblStylePr>
    <w:tblStylePr w:type="band1Horz">
      <w:tblPr/>
      <w:tcPr>
        <w:tcBorders>
          <w:top w:val="single" w:sz="8" w:space="0" w:color="CEDFD9"/>
          <w:left w:val="single" w:sz="8" w:space="0" w:color="CEDFD9"/>
          <w:bottom w:val="single" w:sz="8" w:space="0" w:color="CEDFD9"/>
          <w:right w:val="single" w:sz="8" w:space="0" w:color="CEDFD9"/>
          <w:insideH w:val="single" w:sz="8" w:space="0" w:color="CEDFD9"/>
          <w:insideV w:val="single" w:sz="8" w:space="0" w:color="CEDFD9"/>
        </w:tcBorders>
        <w:shd w:val="clear" w:color="auto" w:fill="CDDDAC"/>
      </w:tcPr>
    </w:tblStylePr>
  </w:style>
  <w:style w:type="table" w:styleId="MediumGrid3-Accent4">
    <w:name w:val="Medium Grid 3 Accent 4"/>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EDFD9"/>
        <w:left w:val="single" w:sz="8" w:space="0" w:color="CEDFD9"/>
        <w:bottom w:val="single" w:sz="8" w:space="0" w:color="CEDFD9"/>
        <w:right w:val="single" w:sz="8" w:space="0" w:color="CEDFD9"/>
        <w:insideH w:val="single" w:sz="6" w:space="0" w:color="CEDFD9"/>
        <w:insideV w:val="single" w:sz="6" w:space="0" w:color="CEDFD9"/>
      </w:tblBorders>
      <w:tblCellMar>
        <w:top w:w="0" w:type="dxa"/>
        <w:left w:w="108" w:type="dxa"/>
        <w:bottom w:w="0" w:type="dxa"/>
        <w:right w:w="108" w:type="dxa"/>
      </w:tblCellMar>
    </w:tblPr>
    <w:tcPr>
      <w:shd w:val="clear" w:color="auto" w:fill="DFD8E8"/>
    </w:tcPr>
    <w:tblStylePr w:type="firstRow">
      <w:rPr>
        <w:b/>
        <w:bCs/>
        <w:i w:val="0"/>
        <w:iCs w:val="0"/>
        <w:color w:val="CEDFD9"/>
      </w:rPr>
      <w:tblPr/>
      <w:tcPr>
        <w:tcBorders>
          <w:top w:val="single" w:sz="8" w:space="0" w:color="CEDFD9"/>
          <w:left w:val="single" w:sz="8" w:space="0" w:color="CEDFD9"/>
          <w:bottom w:val="single" w:sz="24" w:space="0" w:color="CEDFD9"/>
          <w:right w:val="single" w:sz="8" w:space="0" w:color="CEDFD9"/>
          <w:insideH w:val="nil"/>
          <w:insideV w:val="single" w:sz="8" w:space="0" w:color="CEDFD9"/>
        </w:tcBorders>
        <w:shd w:val="clear" w:color="auto" w:fill="8064A2"/>
      </w:tcPr>
    </w:tblStylePr>
    <w:tblStylePr w:type="lastRow">
      <w:rPr>
        <w:b/>
        <w:bCs/>
        <w:i w:val="0"/>
        <w:iCs w:val="0"/>
        <w:color w:val="CEDFD9"/>
      </w:rPr>
      <w:tblPr/>
      <w:tcPr>
        <w:tcBorders>
          <w:top w:val="single" w:sz="24" w:space="0" w:color="CEDFD9"/>
          <w:left w:val="single" w:sz="8" w:space="0" w:color="CEDFD9"/>
          <w:bottom w:val="single" w:sz="8" w:space="0" w:color="CEDFD9"/>
          <w:right w:val="single" w:sz="8" w:space="0" w:color="CEDFD9"/>
          <w:insideH w:val="nil"/>
          <w:insideV w:val="single" w:sz="8" w:space="0" w:color="CEDFD9"/>
        </w:tcBorders>
        <w:shd w:val="clear" w:color="auto" w:fill="8064A2"/>
      </w:tcPr>
    </w:tblStylePr>
    <w:tblStylePr w:type="firstCol">
      <w:rPr>
        <w:b/>
        <w:bCs/>
        <w:i w:val="0"/>
        <w:iCs w:val="0"/>
        <w:color w:val="CEDFD9"/>
      </w:rPr>
      <w:tblPr/>
      <w:tcPr>
        <w:tcBorders>
          <w:left w:val="single" w:sz="8" w:space="0" w:color="CEDFD9"/>
          <w:right w:val="single" w:sz="24" w:space="0" w:color="CEDFD9"/>
          <w:insideH w:val="nil"/>
          <w:insideV w:val="nil"/>
        </w:tcBorders>
        <w:shd w:val="clear" w:color="auto" w:fill="8064A2"/>
      </w:tcPr>
    </w:tblStylePr>
    <w:tblStylePr w:type="lastCol">
      <w:rPr>
        <w:b/>
        <w:bCs/>
        <w:i w:val="0"/>
        <w:iCs w:val="0"/>
        <w:color w:val="CEDFD9"/>
      </w:rPr>
      <w:tblPr/>
      <w:tcPr>
        <w:tcBorders>
          <w:top w:val="nil"/>
          <w:left w:val="single" w:sz="24" w:space="0" w:color="CEDFD9"/>
          <w:bottom w:val="nil"/>
          <w:right w:val="nil"/>
          <w:insideH w:val="nil"/>
          <w:insideV w:val="nil"/>
        </w:tcBorders>
        <w:shd w:val="clear" w:color="auto" w:fill="8064A2"/>
      </w:tcPr>
    </w:tblStylePr>
    <w:tblStylePr w:type="band1Vert">
      <w:tblPr/>
      <w:tcPr>
        <w:tcBorders>
          <w:top w:val="single" w:sz="8" w:space="0" w:color="CEDFD9"/>
          <w:left w:val="single" w:sz="8" w:space="0" w:color="CEDFD9"/>
          <w:bottom w:val="single" w:sz="8" w:space="0" w:color="CEDFD9"/>
          <w:right w:val="single" w:sz="8" w:space="0" w:color="CEDFD9"/>
          <w:insideH w:val="nil"/>
          <w:insideV w:val="nil"/>
        </w:tcBorders>
        <w:shd w:val="clear" w:color="auto" w:fill="BFB1D0"/>
      </w:tcPr>
    </w:tblStylePr>
    <w:tblStylePr w:type="band1Horz">
      <w:tblPr/>
      <w:tcPr>
        <w:tcBorders>
          <w:top w:val="single" w:sz="8" w:space="0" w:color="CEDFD9"/>
          <w:left w:val="single" w:sz="8" w:space="0" w:color="CEDFD9"/>
          <w:bottom w:val="single" w:sz="8" w:space="0" w:color="CEDFD9"/>
          <w:right w:val="single" w:sz="8" w:space="0" w:color="CEDFD9"/>
          <w:insideH w:val="single" w:sz="8" w:space="0" w:color="CEDFD9"/>
          <w:insideV w:val="single" w:sz="8" w:space="0" w:color="CEDFD9"/>
        </w:tcBorders>
        <w:shd w:val="clear" w:color="auto" w:fill="BFB1D0"/>
      </w:tcPr>
    </w:tblStylePr>
  </w:style>
  <w:style w:type="table" w:styleId="MediumGrid3-Accent5">
    <w:name w:val="Medium Grid 3 Accent 5"/>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EDFD9"/>
        <w:left w:val="single" w:sz="8" w:space="0" w:color="CEDFD9"/>
        <w:bottom w:val="single" w:sz="8" w:space="0" w:color="CEDFD9"/>
        <w:right w:val="single" w:sz="8" w:space="0" w:color="CEDFD9"/>
        <w:insideH w:val="single" w:sz="6" w:space="0" w:color="CEDFD9"/>
        <w:insideV w:val="single" w:sz="6" w:space="0" w:color="CEDFD9"/>
      </w:tblBorders>
      <w:tblCellMar>
        <w:top w:w="0" w:type="dxa"/>
        <w:left w:w="108" w:type="dxa"/>
        <w:bottom w:w="0" w:type="dxa"/>
        <w:right w:w="108" w:type="dxa"/>
      </w:tblCellMar>
    </w:tblPr>
    <w:tcPr>
      <w:shd w:val="clear" w:color="auto" w:fill="D2EAF1"/>
    </w:tcPr>
    <w:tblStylePr w:type="firstRow">
      <w:rPr>
        <w:b/>
        <w:bCs/>
        <w:i w:val="0"/>
        <w:iCs w:val="0"/>
        <w:color w:val="CEDFD9"/>
      </w:rPr>
      <w:tblPr/>
      <w:tcPr>
        <w:tcBorders>
          <w:top w:val="single" w:sz="8" w:space="0" w:color="CEDFD9"/>
          <w:left w:val="single" w:sz="8" w:space="0" w:color="CEDFD9"/>
          <w:bottom w:val="single" w:sz="24" w:space="0" w:color="CEDFD9"/>
          <w:right w:val="single" w:sz="8" w:space="0" w:color="CEDFD9"/>
          <w:insideH w:val="nil"/>
          <w:insideV w:val="single" w:sz="8" w:space="0" w:color="CEDFD9"/>
        </w:tcBorders>
        <w:shd w:val="clear" w:color="auto" w:fill="4BACC6"/>
      </w:tcPr>
    </w:tblStylePr>
    <w:tblStylePr w:type="lastRow">
      <w:rPr>
        <w:b/>
        <w:bCs/>
        <w:i w:val="0"/>
        <w:iCs w:val="0"/>
        <w:color w:val="CEDFD9"/>
      </w:rPr>
      <w:tblPr/>
      <w:tcPr>
        <w:tcBorders>
          <w:top w:val="single" w:sz="24" w:space="0" w:color="CEDFD9"/>
          <w:left w:val="single" w:sz="8" w:space="0" w:color="CEDFD9"/>
          <w:bottom w:val="single" w:sz="8" w:space="0" w:color="CEDFD9"/>
          <w:right w:val="single" w:sz="8" w:space="0" w:color="CEDFD9"/>
          <w:insideH w:val="nil"/>
          <w:insideV w:val="single" w:sz="8" w:space="0" w:color="CEDFD9"/>
        </w:tcBorders>
        <w:shd w:val="clear" w:color="auto" w:fill="4BACC6"/>
      </w:tcPr>
    </w:tblStylePr>
    <w:tblStylePr w:type="firstCol">
      <w:rPr>
        <w:b/>
        <w:bCs/>
        <w:i w:val="0"/>
        <w:iCs w:val="0"/>
        <w:color w:val="CEDFD9"/>
      </w:rPr>
      <w:tblPr/>
      <w:tcPr>
        <w:tcBorders>
          <w:left w:val="single" w:sz="8" w:space="0" w:color="CEDFD9"/>
          <w:right w:val="single" w:sz="24" w:space="0" w:color="CEDFD9"/>
          <w:insideH w:val="nil"/>
          <w:insideV w:val="nil"/>
        </w:tcBorders>
        <w:shd w:val="clear" w:color="auto" w:fill="4BACC6"/>
      </w:tcPr>
    </w:tblStylePr>
    <w:tblStylePr w:type="lastCol">
      <w:rPr>
        <w:b/>
        <w:bCs/>
        <w:i w:val="0"/>
        <w:iCs w:val="0"/>
        <w:color w:val="CEDFD9"/>
      </w:rPr>
      <w:tblPr/>
      <w:tcPr>
        <w:tcBorders>
          <w:top w:val="nil"/>
          <w:left w:val="single" w:sz="24" w:space="0" w:color="CEDFD9"/>
          <w:bottom w:val="nil"/>
          <w:right w:val="nil"/>
          <w:insideH w:val="nil"/>
          <w:insideV w:val="nil"/>
        </w:tcBorders>
        <w:shd w:val="clear" w:color="auto" w:fill="4BACC6"/>
      </w:tcPr>
    </w:tblStylePr>
    <w:tblStylePr w:type="band1Vert">
      <w:tblPr/>
      <w:tcPr>
        <w:tcBorders>
          <w:top w:val="single" w:sz="8" w:space="0" w:color="CEDFD9"/>
          <w:left w:val="single" w:sz="8" w:space="0" w:color="CEDFD9"/>
          <w:bottom w:val="single" w:sz="8" w:space="0" w:color="CEDFD9"/>
          <w:right w:val="single" w:sz="8" w:space="0" w:color="CEDFD9"/>
          <w:insideH w:val="nil"/>
          <w:insideV w:val="nil"/>
        </w:tcBorders>
        <w:shd w:val="clear" w:color="auto" w:fill="A5D5E2"/>
      </w:tcPr>
    </w:tblStylePr>
    <w:tblStylePr w:type="band1Horz">
      <w:tblPr/>
      <w:tcPr>
        <w:tcBorders>
          <w:top w:val="single" w:sz="8" w:space="0" w:color="CEDFD9"/>
          <w:left w:val="single" w:sz="8" w:space="0" w:color="CEDFD9"/>
          <w:bottom w:val="single" w:sz="8" w:space="0" w:color="CEDFD9"/>
          <w:right w:val="single" w:sz="8" w:space="0" w:color="CEDFD9"/>
          <w:insideH w:val="single" w:sz="8" w:space="0" w:color="CEDFD9"/>
          <w:insideV w:val="single" w:sz="8" w:space="0" w:color="CEDFD9"/>
        </w:tcBorders>
        <w:shd w:val="clear" w:color="auto" w:fill="A5D5E2"/>
      </w:tcPr>
    </w:tblStylePr>
  </w:style>
  <w:style w:type="table" w:styleId="MediumGrid3-Accent6">
    <w:name w:val="Medium Grid 3 Accent 6"/>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EDFD9"/>
        <w:left w:val="single" w:sz="8" w:space="0" w:color="CEDFD9"/>
        <w:bottom w:val="single" w:sz="8" w:space="0" w:color="CEDFD9"/>
        <w:right w:val="single" w:sz="8" w:space="0" w:color="CEDFD9"/>
        <w:insideH w:val="single" w:sz="6" w:space="0" w:color="CEDFD9"/>
        <w:insideV w:val="single" w:sz="6" w:space="0" w:color="CEDFD9"/>
      </w:tblBorders>
      <w:tblCellMar>
        <w:top w:w="0" w:type="dxa"/>
        <w:left w:w="108" w:type="dxa"/>
        <w:bottom w:w="0" w:type="dxa"/>
        <w:right w:w="108" w:type="dxa"/>
      </w:tblCellMar>
    </w:tblPr>
    <w:tcPr>
      <w:shd w:val="clear" w:color="auto" w:fill="FDE4D0"/>
    </w:tcPr>
    <w:tblStylePr w:type="firstRow">
      <w:rPr>
        <w:b/>
        <w:bCs/>
        <w:i w:val="0"/>
        <w:iCs w:val="0"/>
        <w:color w:val="CEDFD9"/>
      </w:rPr>
      <w:tblPr/>
      <w:tcPr>
        <w:tcBorders>
          <w:top w:val="single" w:sz="8" w:space="0" w:color="CEDFD9"/>
          <w:left w:val="single" w:sz="8" w:space="0" w:color="CEDFD9"/>
          <w:bottom w:val="single" w:sz="24" w:space="0" w:color="CEDFD9"/>
          <w:right w:val="single" w:sz="8" w:space="0" w:color="CEDFD9"/>
          <w:insideH w:val="nil"/>
          <w:insideV w:val="single" w:sz="8" w:space="0" w:color="CEDFD9"/>
        </w:tcBorders>
        <w:shd w:val="clear" w:color="auto" w:fill="F79646"/>
      </w:tcPr>
    </w:tblStylePr>
    <w:tblStylePr w:type="lastRow">
      <w:rPr>
        <w:b/>
        <w:bCs/>
        <w:i w:val="0"/>
        <w:iCs w:val="0"/>
        <w:color w:val="CEDFD9"/>
      </w:rPr>
      <w:tblPr/>
      <w:tcPr>
        <w:tcBorders>
          <w:top w:val="single" w:sz="24" w:space="0" w:color="CEDFD9"/>
          <w:left w:val="single" w:sz="8" w:space="0" w:color="CEDFD9"/>
          <w:bottom w:val="single" w:sz="8" w:space="0" w:color="CEDFD9"/>
          <w:right w:val="single" w:sz="8" w:space="0" w:color="CEDFD9"/>
          <w:insideH w:val="nil"/>
          <w:insideV w:val="single" w:sz="8" w:space="0" w:color="CEDFD9"/>
        </w:tcBorders>
        <w:shd w:val="clear" w:color="auto" w:fill="F79646"/>
      </w:tcPr>
    </w:tblStylePr>
    <w:tblStylePr w:type="firstCol">
      <w:rPr>
        <w:b/>
        <w:bCs/>
        <w:i w:val="0"/>
        <w:iCs w:val="0"/>
        <w:color w:val="CEDFD9"/>
      </w:rPr>
      <w:tblPr/>
      <w:tcPr>
        <w:tcBorders>
          <w:left w:val="single" w:sz="8" w:space="0" w:color="CEDFD9"/>
          <w:right w:val="single" w:sz="24" w:space="0" w:color="CEDFD9"/>
          <w:insideH w:val="nil"/>
          <w:insideV w:val="nil"/>
        </w:tcBorders>
        <w:shd w:val="clear" w:color="auto" w:fill="F79646"/>
      </w:tcPr>
    </w:tblStylePr>
    <w:tblStylePr w:type="lastCol">
      <w:rPr>
        <w:b/>
        <w:bCs/>
        <w:i w:val="0"/>
        <w:iCs w:val="0"/>
        <w:color w:val="CEDFD9"/>
      </w:rPr>
      <w:tblPr/>
      <w:tcPr>
        <w:tcBorders>
          <w:top w:val="nil"/>
          <w:left w:val="single" w:sz="24" w:space="0" w:color="CEDFD9"/>
          <w:bottom w:val="nil"/>
          <w:right w:val="nil"/>
          <w:insideH w:val="nil"/>
          <w:insideV w:val="nil"/>
        </w:tcBorders>
        <w:shd w:val="clear" w:color="auto" w:fill="F79646"/>
      </w:tcPr>
    </w:tblStylePr>
    <w:tblStylePr w:type="band1Vert">
      <w:tblPr/>
      <w:tcPr>
        <w:tcBorders>
          <w:top w:val="single" w:sz="8" w:space="0" w:color="CEDFD9"/>
          <w:left w:val="single" w:sz="8" w:space="0" w:color="CEDFD9"/>
          <w:bottom w:val="single" w:sz="8" w:space="0" w:color="CEDFD9"/>
          <w:right w:val="single" w:sz="8" w:space="0" w:color="CEDFD9"/>
          <w:insideH w:val="nil"/>
          <w:insideV w:val="nil"/>
        </w:tcBorders>
        <w:shd w:val="clear" w:color="auto" w:fill="FBCAA2"/>
      </w:tcPr>
    </w:tblStylePr>
    <w:tblStylePr w:type="band1Horz">
      <w:tblPr/>
      <w:tcPr>
        <w:tcBorders>
          <w:top w:val="single" w:sz="8" w:space="0" w:color="CEDFD9"/>
          <w:left w:val="single" w:sz="8" w:space="0" w:color="CEDFD9"/>
          <w:bottom w:val="single" w:sz="8" w:space="0" w:color="CEDFD9"/>
          <w:right w:val="single" w:sz="8" w:space="0" w:color="CEDFD9"/>
          <w:insideH w:val="single" w:sz="8" w:space="0" w:color="CEDFD9"/>
          <w:insideV w:val="single" w:sz="8" w:space="0" w:color="CEDFD9"/>
        </w:tcBorders>
        <w:shd w:val="clear" w:color="auto" w:fill="FBCAA2"/>
      </w:tcPr>
    </w:tblStylePr>
  </w:style>
  <w:style w:type="table" w:styleId="MediumList1">
    <w:name w:val="Medium List 1"/>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PMingLiU" w:hAnsi="Cambria"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PMingLiU" w:hAnsi="Cambria" w:cs="Cambr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PMingLiU" w:hAnsi="Cambria" w:cs="Cambri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PMingLiU" w:hAnsi="Cambria"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PMingLiU" w:hAnsi="Cambria" w:cs="Cambri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PMingLiU" w:hAnsi="Cambria"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rsid w:val="00836ACB"/>
    <w:rPr>
      <w:rFonts w:ascii="Times New Roman" w:hAnsi="Times New Roman"/>
      <w:color w:val="000000"/>
      <w:lang w:val="en-GB" w:eastAsia="ja-JP"/>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PMingLiU" w:hAnsi="Cambria" w:cs="Cambri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CEDFD9"/>
      </w:tcPr>
    </w:tblStylePr>
    <w:tblStylePr w:type="lastRow">
      <w:tblPr/>
      <w:tcPr>
        <w:tcBorders>
          <w:top w:val="single" w:sz="8" w:space="0" w:color="000000"/>
          <w:left w:val="nil"/>
          <w:bottom w:val="nil"/>
          <w:right w:val="nil"/>
          <w:insideH w:val="nil"/>
          <w:insideV w:val="nil"/>
        </w:tcBorders>
        <w:shd w:val="clear" w:color="auto" w:fill="CEDFD9"/>
      </w:tcPr>
    </w:tblStylePr>
    <w:tblStylePr w:type="firstCol">
      <w:tblPr/>
      <w:tcPr>
        <w:tcBorders>
          <w:top w:val="nil"/>
          <w:left w:val="nil"/>
          <w:bottom w:val="nil"/>
          <w:right w:val="single" w:sz="8" w:space="0" w:color="000000"/>
          <w:insideH w:val="nil"/>
          <w:insideV w:val="nil"/>
        </w:tcBorders>
        <w:shd w:val="clear" w:color="auto" w:fill="CEDFD9"/>
      </w:tcPr>
    </w:tblStylePr>
    <w:tblStylePr w:type="lastCol">
      <w:tblPr/>
      <w:tcPr>
        <w:tcBorders>
          <w:top w:val="nil"/>
          <w:left w:val="single" w:sz="8" w:space="0" w:color="000000"/>
          <w:bottom w:val="nil"/>
          <w:right w:val="nil"/>
          <w:insideH w:val="nil"/>
          <w:insideV w:val="nil"/>
        </w:tcBorders>
        <w:shd w:val="clear" w:color="auto" w:fill="CEDFD9"/>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CEDFD9"/>
      </w:tcPr>
    </w:tblStylePr>
    <w:tblStylePr w:type="swCell">
      <w:tblPr/>
      <w:tcPr>
        <w:tcBorders>
          <w:top w:val="nil"/>
        </w:tcBorders>
      </w:tcPr>
    </w:tblStylePr>
  </w:style>
  <w:style w:type="table" w:styleId="MediumList2-Accent1">
    <w:name w:val="Medium List 2 Accent 1"/>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CEDFD9"/>
      </w:tcPr>
    </w:tblStylePr>
    <w:tblStylePr w:type="lastRow">
      <w:tblPr/>
      <w:tcPr>
        <w:tcBorders>
          <w:top w:val="single" w:sz="8" w:space="0" w:color="4F81BD"/>
          <w:left w:val="nil"/>
          <w:bottom w:val="nil"/>
          <w:right w:val="nil"/>
          <w:insideH w:val="nil"/>
          <w:insideV w:val="nil"/>
        </w:tcBorders>
        <w:shd w:val="clear" w:color="auto" w:fill="CEDFD9"/>
      </w:tcPr>
    </w:tblStylePr>
    <w:tblStylePr w:type="firstCol">
      <w:tblPr/>
      <w:tcPr>
        <w:tcBorders>
          <w:top w:val="nil"/>
          <w:left w:val="nil"/>
          <w:bottom w:val="nil"/>
          <w:right w:val="single" w:sz="8" w:space="0" w:color="4F81BD"/>
          <w:insideH w:val="nil"/>
          <w:insideV w:val="nil"/>
        </w:tcBorders>
        <w:shd w:val="clear" w:color="auto" w:fill="CEDFD9"/>
      </w:tcPr>
    </w:tblStylePr>
    <w:tblStylePr w:type="lastCol">
      <w:tblPr/>
      <w:tcPr>
        <w:tcBorders>
          <w:top w:val="nil"/>
          <w:left w:val="single" w:sz="8" w:space="0" w:color="4F81BD"/>
          <w:bottom w:val="nil"/>
          <w:right w:val="nil"/>
          <w:insideH w:val="nil"/>
          <w:insideV w:val="nil"/>
        </w:tcBorders>
        <w:shd w:val="clear" w:color="auto" w:fill="CEDFD9"/>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CEDFD9"/>
      </w:tcPr>
    </w:tblStylePr>
    <w:tblStylePr w:type="swCell">
      <w:tblPr/>
      <w:tcPr>
        <w:tcBorders>
          <w:top w:val="nil"/>
        </w:tcBorders>
      </w:tcPr>
    </w:tblStylePr>
  </w:style>
  <w:style w:type="table" w:styleId="MediumList2-Accent2">
    <w:name w:val="Medium List 2 Accent 2"/>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CEDFD9"/>
      </w:tcPr>
    </w:tblStylePr>
    <w:tblStylePr w:type="lastRow">
      <w:tblPr/>
      <w:tcPr>
        <w:tcBorders>
          <w:top w:val="single" w:sz="8" w:space="0" w:color="C0504D"/>
          <w:left w:val="nil"/>
          <w:bottom w:val="nil"/>
          <w:right w:val="nil"/>
          <w:insideH w:val="nil"/>
          <w:insideV w:val="nil"/>
        </w:tcBorders>
        <w:shd w:val="clear" w:color="auto" w:fill="CEDFD9"/>
      </w:tcPr>
    </w:tblStylePr>
    <w:tblStylePr w:type="firstCol">
      <w:tblPr/>
      <w:tcPr>
        <w:tcBorders>
          <w:top w:val="nil"/>
          <w:left w:val="nil"/>
          <w:bottom w:val="nil"/>
          <w:right w:val="single" w:sz="8" w:space="0" w:color="C0504D"/>
          <w:insideH w:val="nil"/>
          <w:insideV w:val="nil"/>
        </w:tcBorders>
        <w:shd w:val="clear" w:color="auto" w:fill="CEDFD9"/>
      </w:tcPr>
    </w:tblStylePr>
    <w:tblStylePr w:type="lastCol">
      <w:tblPr/>
      <w:tcPr>
        <w:tcBorders>
          <w:top w:val="nil"/>
          <w:left w:val="single" w:sz="8" w:space="0" w:color="C0504D"/>
          <w:bottom w:val="nil"/>
          <w:right w:val="nil"/>
          <w:insideH w:val="nil"/>
          <w:insideV w:val="nil"/>
        </w:tcBorders>
        <w:shd w:val="clear" w:color="auto" w:fill="CEDFD9"/>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CEDFD9"/>
      </w:tcPr>
    </w:tblStylePr>
    <w:tblStylePr w:type="swCell">
      <w:tblPr/>
      <w:tcPr>
        <w:tcBorders>
          <w:top w:val="nil"/>
        </w:tcBorders>
      </w:tcPr>
    </w:tblStylePr>
  </w:style>
  <w:style w:type="table" w:styleId="MediumList2-Accent3">
    <w:name w:val="Medium List 2 Accent 3"/>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CEDFD9"/>
      </w:tcPr>
    </w:tblStylePr>
    <w:tblStylePr w:type="lastRow">
      <w:tblPr/>
      <w:tcPr>
        <w:tcBorders>
          <w:top w:val="single" w:sz="8" w:space="0" w:color="9BBB59"/>
          <w:left w:val="nil"/>
          <w:bottom w:val="nil"/>
          <w:right w:val="nil"/>
          <w:insideH w:val="nil"/>
          <w:insideV w:val="nil"/>
        </w:tcBorders>
        <w:shd w:val="clear" w:color="auto" w:fill="CEDFD9"/>
      </w:tcPr>
    </w:tblStylePr>
    <w:tblStylePr w:type="firstCol">
      <w:tblPr/>
      <w:tcPr>
        <w:tcBorders>
          <w:top w:val="nil"/>
          <w:left w:val="nil"/>
          <w:bottom w:val="nil"/>
          <w:right w:val="single" w:sz="8" w:space="0" w:color="9BBB59"/>
          <w:insideH w:val="nil"/>
          <w:insideV w:val="nil"/>
        </w:tcBorders>
        <w:shd w:val="clear" w:color="auto" w:fill="CEDFD9"/>
      </w:tcPr>
    </w:tblStylePr>
    <w:tblStylePr w:type="lastCol">
      <w:tblPr/>
      <w:tcPr>
        <w:tcBorders>
          <w:top w:val="nil"/>
          <w:left w:val="single" w:sz="8" w:space="0" w:color="9BBB59"/>
          <w:bottom w:val="nil"/>
          <w:right w:val="nil"/>
          <w:insideH w:val="nil"/>
          <w:insideV w:val="nil"/>
        </w:tcBorders>
        <w:shd w:val="clear" w:color="auto" w:fill="CEDFD9"/>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CEDFD9"/>
      </w:tcPr>
    </w:tblStylePr>
    <w:tblStylePr w:type="swCell">
      <w:tblPr/>
      <w:tcPr>
        <w:tcBorders>
          <w:top w:val="nil"/>
        </w:tcBorders>
      </w:tcPr>
    </w:tblStylePr>
  </w:style>
  <w:style w:type="table" w:styleId="MediumList2-Accent4">
    <w:name w:val="Medium List 2 Accent 4"/>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CEDFD9"/>
      </w:tcPr>
    </w:tblStylePr>
    <w:tblStylePr w:type="lastRow">
      <w:tblPr/>
      <w:tcPr>
        <w:tcBorders>
          <w:top w:val="single" w:sz="8" w:space="0" w:color="8064A2"/>
          <w:left w:val="nil"/>
          <w:bottom w:val="nil"/>
          <w:right w:val="nil"/>
          <w:insideH w:val="nil"/>
          <w:insideV w:val="nil"/>
        </w:tcBorders>
        <w:shd w:val="clear" w:color="auto" w:fill="CEDFD9"/>
      </w:tcPr>
    </w:tblStylePr>
    <w:tblStylePr w:type="firstCol">
      <w:tblPr/>
      <w:tcPr>
        <w:tcBorders>
          <w:top w:val="nil"/>
          <w:left w:val="nil"/>
          <w:bottom w:val="nil"/>
          <w:right w:val="single" w:sz="8" w:space="0" w:color="8064A2"/>
          <w:insideH w:val="nil"/>
          <w:insideV w:val="nil"/>
        </w:tcBorders>
        <w:shd w:val="clear" w:color="auto" w:fill="CEDFD9"/>
      </w:tcPr>
    </w:tblStylePr>
    <w:tblStylePr w:type="lastCol">
      <w:tblPr/>
      <w:tcPr>
        <w:tcBorders>
          <w:top w:val="nil"/>
          <w:left w:val="single" w:sz="8" w:space="0" w:color="8064A2"/>
          <w:bottom w:val="nil"/>
          <w:right w:val="nil"/>
          <w:insideH w:val="nil"/>
          <w:insideV w:val="nil"/>
        </w:tcBorders>
        <w:shd w:val="clear" w:color="auto" w:fill="CEDFD9"/>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CEDFD9"/>
      </w:tcPr>
    </w:tblStylePr>
    <w:tblStylePr w:type="swCell">
      <w:tblPr/>
      <w:tcPr>
        <w:tcBorders>
          <w:top w:val="nil"/>
        </w:tcBorders>
      </w:tcPr>
    </w:tblStylePr>
  </w:style>
  <w:style w:type="table" w:styleId="MediumList2-Accent5">
    <w:name w:val="Medium List 2 Accent 5"/>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CEDFD9"/>
      </w:tcPr>
    </w:tblStylePr>
    <w:tblStylePr w:type="lastRow">
      <w:tblPr/>
      <w:tcPr>
        <w:tcBorders>
          <w:top w:val="single" w:sz="8" w:space="0" w:color="4BACC6"/>
          <w:left w:val="nil"/>
          <w:bottom w:val="nil"/>
          <w:right w:val="nil"/>
          <w:insideH w:val="nil"/>
          <w:insideV w:val="nil"/>
        </w:tcBorders>
        <w:shd w:val="clear" w:color="auto" w:fill="CEDFD9"/>
      </w:tcPr>
    </w:tblStylePr>
    <w:tblStylePr w:type="firstCol">
      <w:tblPr/>
      <w:tcPr>
        <w:tcBorders>
          <w:top w:val="nil"/>
          <w:left w:val="nil"/>
          <w:bottom w:val="nil"/>
          <w:right w:val="single" w:sz="8" w:space="0" w:color="4BACC6"/>
          <w:insideH w:val="nil"/>
          <w:insideV w:val="nil"/>
        </w:tcBorders>
        <w:shd w:val="clear" w:color="auto" w:fill="CEDFD9"/>
      </w:tcPr>
    </w:tblStylePr>
    <w:tblStylePr w:type="lastCol">
      <w:tblPr/>
      <w:tcPr>
        <w:tcBorders>
          <w:top w:val="nil"/>
          <w:left w:val="single" w:sz="8" w:space="0" w:color="4BACC6"/>
          <w:bottom w:val="nil"/>
          <w:right w:val="nil"/>
          <w:insideH w:val="nil"/>
          <w:insideV w:val="nil"/>
        </w:tcBorders>
        <w:shd w:val="clear" w:color="auto" w:fill="CEDFD9"/>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CEDFD9"/>
      </w:tcPr>
    </w:tblStylePr>
    <w:tblStylePr w:type="swCell">
      <w:tblPr/>
      <w:tcPr>
        <w:tcBorders>
          <w:top w:val="nil"/>
        </w:tcBorders>
      </w:tcPr>
    </w:tblStylePr>
  </w:style>
  <w:style w:type="table" w:styleId="MediumList2-Accent6">
    <w:name w:val="Medium List 2 Accent 6"/>
    <w:basedOn w:val="TableNormal"/>
    <w:uiPriority w:val="99"/>
    <w:rsid w:val="00836ACB"/>
    <w:rPr>
      <w:rFonts w:ascii="Cambria" w:hAnsi="Cambria" w:cs="Cambria"/>
      <w:color w:val="000000"/>
      <w:lang w:val="en-GB" w:eastAsia="ja-JP"/>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CEDFD9"/>
      </w:tcPr>
    </w:tblStylePr>
    <w:tblStylePr w:type="lastRow">
      <w:tblPr/>
      <w:tcPr>
        <w:tcBorders>
          <w:top w:val="single" w:sz="8" w:space="0" w:color="F79646"/>
          <w:left w:val="nil"/>
          <w:bottom w:val="nil"/>
          <w:right w:val="nil"/>
          <w:insideH w:val="nil"/>
          <w:insideV w:val="nil"/>
        </w:tcBorders>
        <w:shd w:val="clear" w:color="auto" w:fill="CEDFD9"/>
      </w:tcPr>
    </w:tblStylePr>
    <w:tblStylePr w:type="firstCol">
      <w:tblPr/>
      <w:tcPr>
        <w:tcBorders>
          <w:top w:val="nil"/>
          <w:left w:val="nil"/>
          <w:bottom w:val="nil"/>
          <w:right w:val="single" w:sz="8" w:space="0" w:color="F79646"/>
          <w:insideH w:val="nil"/>
          <w:insideV w:val="nil"/>
        </w:tcBorders>
        <w:shd w:val="clear" w:color="auto" w:fill="CEDFD9"/>
      </w:tcPr>
    </w:tblStylePr>
    <w:tblStylePr w:type="lastCol">
      <w:tblPr/>
      <w:tcPr>
        <w:tcBorders>
          <w:top w:val="nil"/>
          <w:left w:val="single" w:sz="8" w:space="0" w:color="F79646"/>
          <w:bottom w:val="nil"/>
          <w:right w:val="nil"/>
          <w:insideH w:val="nil"/>
          <w:insideV w:val="nil"/>
        </w:tcBorders>
        <w:shd w:val="clear" w:color="auto" w:fill="CEDFD9"/>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CEDFD9"/>
      </w:tcPr>
    </w:tblStylePr>
    <w:tblStylePr w:type="swCell">
      <w:tblPr/>
      <w:tcPr>
        <w:tcBorders>
          <w:top w:val="nil"/>
        </w:tcBorders>
      </w:tcPr>
    </w:tblStylePr>
  </w:style>
  <w:style w:type="table" w:styleId="MediumShading1">
    <w:name w:val="Medium Shading 1"/>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b/>
        <w:bCs/>
        <w:color w:val="CEDFD9"/>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CEDFD9"/>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b/>
        <w:bCs/>
        <w:color w:val="CEDFD9"/>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CEDFD9"/>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b/>
        <w:bCs/>
        <w:color w:val="CEDFD9"/>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CEDFD9"/>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836ACB"/>
    <w:rPr>
      <w:rFonts w:ascii="Times New Roman" w:hAnsi="Times New Roman"/>
      <w:lang w:val="en-GB" w:eastAsia="ja-JP"/>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CEDFD9"/>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9"/>
    <w:rsid w:val="00836ACB"/>
    <w:rPr>
      <w:rFonts w:ascii="Times New Roman" w:hAnsi="Times New Roman"/>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CEDFD9"/>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CEDFD9"/>
      </w:tcPr>
    </w:tblStylePr>
    <w:tblStylePr w:type="firstCol">
      <w:rPr>
        <w:b/>
        <w:bCs/>
        <w:color w:val="CEDFD9"/>
      </w:rPr>
      <w:tblPr/>
      <w:tcPr>
        <w:tcBorders>
          <w:top w:val="nil"/>
          <w:left w:val="nil"/>
          <w:bottom w:val="single" w:sz="18" w:space="0" w:color="auto"/>
          <w:right w:val="nil"/>
          <w:insideH w:val="nil"/>
          <w:insideV w:val="nil"/>
        </w:tcBorders>
        <w:shd w:val="clear" w:color="auto" w:fill="000000"/>
      </w:tcPr>
    </w:tblStylePr>
    <w:tblStylePr w:type="lastCol">
      <w:rPr>
        <w:b/>
        <w:bCs/>
        <w:color w:val="CEDFD9"/>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A6C5BA"/>
      </w:tcPr>
    </w:tblStylePr>
    <w:tblStylePr w:type="band1Horz">
      <w:tblPr/>
      <w:tcPr>
        <w:shd w:val="clear" w:color="auto" w:fill="A6C5BA"/>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DFD9"/>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836ACB"/>
    <w:rPr>
      <w:rFonts w:ascii="Times New Roman" w:hAnsi="Times New Roman"/>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CEDFD9"/>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CEDFD9"/>
      </w:tcPr>
    </w:tblStylePr>
    <w:tblStylePr w:type="firstCol">
      <w:rPr>
        <w:b/>
        <w:bCs/>
        <w:color w:val="CEDFD9"/>
      </w:rPr>
      <w:tblPr/>
      <w:tcPr>
        <w:tcBorders>
          <w:top w:val="nil"/>
          <w:left w:val="nil"/>
          <w:bottom w:val="single" w:sz="18" w:space="0" w:color="auto"/>
          <w:right w:val="nil"/>
          <w:insideH w:val="nil"/>
          <w:insideV w:val="nil"/>
        </w:tcBorders>
        <w:shd w:val="clear" w:color="auto" w:fill="4F81BD"/>
      </w:tcPr>
    </w:tblStylePr>
    <w:tblStylePr w:type="lastCol">
      <w:rPr>
        <w:b/>
        <w:bCs/>
        <w:color w:val="CEDFD9"/>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A6C5BA"/>
      </w:tcPr>
    </w:tblStylePr>
    <w:tblStylePr w:type="band1Horz">
      <w:tblPr/>
      <w:tcPr>
        <w:shd w:val="clear" w:color="auto" w:fill="A6C5BA"/>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DFD9"/>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836ACB"/>
    <w:rPr>
      <w:rFonts w:ascii="Times New Roman" w:hAnsi="Times New Roman"/>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CEDFD9"/>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CEDFD9"/>
      </w:tcPr>
    </w:tblStylePr>
    <w:tblStylePr w:type="firstCol">
      <w:rPr>
        <w:b/>
        <w:bCs/>
        <w:color w:val="CEDFD9"/>
      </w:rPr>
      <w:tblPr/>
      <w:tcPr>
        <w:tcBorders>
          <w:top w:val="nil"/>
          <w:left w:val="nil"/>
          <w:bottom w:val="single" w:sz="18" w:space="0" w:color="auto"/>
          <w:right w:val="nil"/>
          <w:insideH w:val="nil"/>
          <w:insideV w:val="nil"/>
        </w:tcBorders>
        <w:shd w:val="clear" w:color="auto" w:fill="C0504D"/>
      </w:tcPr>
    </w:tblStylePr>
    <w:tblStylePr w:type="lastCol">
      <w:rPr>
        <w:b/>
        <w:bCs/>
        <w:color w:val="CEDFD9"/>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A6C5BA"/>
      </w:tcPr>
    </w:tblStylePr>
    <w:tblStylePr w:type="band1Horz">
      <w:tblPr/>
      <w:tcPr>
        <w:shd w:val="clear" w:color="auto" w:fill="A6C5BA"/>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DFD9"/>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836ACB"/>
    <w:rPr>
      <w:rFonts w:ascii="Times New Roman" w:hAnsi="Times New Roman"/>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CEDFD9"/>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CEDFD9"/>
      </w:tcPr>
    </w:tblStylePr>
    <w:tblStylePr w:type="firstCol">
      <w:rPr>
        <w:b/>
        <w:bCs/>
        <w:color w:val="CEDFD9"/>
      </w:rPr>
      <w:tblPr/>
      <w:tcPr>
        <w:tcBorders>
          <w:top w:val="nil"/>
          <w:left w:val="nil"/>
          <w:bottom w:val="single" w:sz="18" w:space="0" w:color="auto"/>
          <w:right w:val="nil"/>
          <w:insideH w:val="nil"/>
          <w:insideV w:val="nil"/>
        </w:tcBorders>
        <w:shd w:val="clear" w:color="auto" w:fill="9BBB59"/>
      </w:tcPr>
    </w:tblStylePr>
    <w:tblStylePr w:type="lastCol">
      <w:rPr>
        <w:b/>
        <w:bCs/>
        <w:color w:val="CEDFD9"/>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A6C5BA"/>
      </w:tcPr>
    </w:tblStylePr>
    <w:tblStylePr w:type="band1Horz">
      <w:tblPr/>
      <w:tcPr>
        <w:shd w:val="clear" w:color="auto" w:fill="A6C5BA"/>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DFD9"/>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836ACB"/>
    <w:rPr>
      <w:rFonts w:ascii="Times New Roman" w:hAnsi="Times New Roman"/>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CEDFD9"/>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CEDFD9"/>
      </w:tcPr>
    </w:tblStylePr>
    <w:tblStylePr w:type="firstCol">
      <w:rPr>
        <w:b/>
        <w:bCs/>
        <w:color w:val="CEDFD9"/>
      </w:rPr>
      <w:tblPr/>
      <w:tcPr>
        <w:tcBorders>
          <w:top w:val="nil"/>
          <w:left w:val="nil"/>
          <w:bottom w:val="single" w:sz="18" w:space="0" w:color="auto"/>
          <w:right w:val="nil"/>
          <w:insideH w:val="nil"/>
          <w:insideV w:val="nil"/>
        </w:tcBorders>
        <w:shd w:val="clear" w:color="auto" w:fill="8064A2"/>
      </w:tcPr>
    </w:tblStylePr>
    <w:tblStylePr w:type="lastCol">
      <w:rPr>
        <w:b/>
        <w:bCs/>
        <w:color w:val="CEDFD9"/>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A6C5BA"/>
      </w:tcPr>
    </w:tblStylePr>
    <w:tblStylePr w:type="band1Horz">
      <w:tblPr/>
      <w:tcPr>
        <w:shd w:val="clear" w:color="auto" w:fill="A6C5BA"/>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DFD9"/>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836ACB"/>
    <w:rPr>
      <w:rFonts w:ascii="Times New Roman" w:hAnsi="Times New Roman"/>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CEDFD9"/>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CEDFD9"/>
      </w:tcPr>
    </w:tblStylePr>
    <w:tblStylePr w:type="firstCol">
      <w:rPr>
        <w:b/>
        <w:bCs/>
        <w:color w:val="CEDFD9"/>
      </w:rPr>
      <w:tblPr/>
      <w:tcPr>
        <w:tcBorders>
          <w:top w:val="nil"/>
          <w:left w:val="nil"/>
          <w:bottom w:val="single" w:sz="18" w:space="0" w:color="auto"/>
          <w:right w:val="nil"/>
          <w:insideH w:val="nil"/>
          <w:insideV w:val="nil"/>
        </w:tcBorders>
        <w:shd w:val="clear" w:color="auto" w:fill="4BACC6"/>
      </w:tcPr>
    </w:tblStylePr>
    <w:tblStylePr w:type="lastCol">
      <w:rPr>
        <w:b/>
        <w:bCs/>
        <w:color w:val="CEDFD9"/>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A6C5BA"/>
      </w:tcPr>
    </w:tblStylePr>
    <w:tblStylePr w:type="band1Horz">
      <w:tblPr/>
      <w:tcPr>
        <w:shd w:val="clear" w:color="auto" w:fill="A6C5BA"/>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DFD9"/>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836ACB"/>
    <w:rPr>
      <w:rFonts w:ascii="Times New Roman" w:hAnsi="Times New Roman"/>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CEDFD9"/>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CEDFD9"/>
      </w:tcPr>
    </w:tblStylePr>
    <w:tblStylePr w:type="firstCol">
      <w:rPr>
        <w:b/>
        <w:bCs/>
        <w:color w:val="CEDFD9"/>
      </w:rPr>
      <w:tblPr/>
      <w:tcPr>
        <w:tcBorders>
          <w:top w:val="nil"/>
          <w:left w:val="nil"/>
          <w:bottom w:val="single" w:sz="18" w:space="0" w:color="auto"/>
          <w:right w:val="nil"/>
          <w:insideH w:val="nil"/>
          <w:insideV w:val="nil"/>
        </w:tcBorders>
        <w:shd w:val="clear" w:color="auto" w:fill="F79646"/>
      </w:tcPr>
    </w:tblStylePr>
    <w:tblStylePr w:type="lastCol">
      <w:rPr>
        <w:b/>
        <w:bCs/>
        <w:color w:val="CEDFD9"/>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A6C5BA"/>
      </w:tcPr>
    </w:tblStylePr>
    <w:tblStylePr w:type="band1Horz">
      <w:tblPr/>
      <w:tcPr>
        <w:shd w:val="clear" w:color="auto" w:fill="A6C5BA"/>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DFD9"/>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836AC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rPr>
  </w:style>
  <w:style w:type="character" w:customStyle="1" w:styleId="MessageHeaderChar">
    <w:name w:val="Message Header Char"/>
    <w:link w:val="MessageHeader"/>
    <w:uiPriority w:val="99"/>
    <w:rsid w:val="00836ACB"/>
    <w:rPr>
      <w:rFonts w:ascii="Cambria" w:eastAsia="PMingLiU" w:hAnsi="Cambria" w:cs="Cambria"/>
      <w:sz w:val="24"/>
      <w:szCs w:val="24"/>
      <w:shd w:val="pct20" w:color="auto" w:fill="auto"/>
      <w:lang w:val="en-GB" w:eastAsia="ja-JP"/>
    </w:rPr>
  </w:style>
  <w:style w:type="table" w:customStyle="1" w:styleId="NERATable">
    <w:name w:val="NERA Table"/>
    <w:uiPriority w:val="99"/>
    <w:rsid w:val="00836ACB"/>
    <w:rPr>
      <w:rFonts w:ascii="Times New Roman" w:eastAsia="MS Mincho" w:hAnsi="Times New Roman"/>
      <w:lang w:val="en-GB" w:eastAsia="ja-JP"/>
    </w:rPr>
    <w:tblPr>
      <w:jc w:val="center"/>
      <w:tblInd w:w="0" w:type="dxa"/>
      <w:tblCellMar>
        <w:top w:w="0" w:type="dxa"/>
        <w:left w:w="108" w:type="dxa"/>
        <w:bottom w:w="0" w:type="dxa"/>
        <w:right w:w="108" w:type="dxa"/>
      </w:tblCellMar>
    </w:tblPr>
    <w:trPr>
      <w:jc w:val="center"/>
    </w:trPr>
  </w:style>
  <w:style w:type="paragraph" w:styleId="NoSpacing">
    <w:name w:val="No Spacing"/>
    <w:uiPriority w:val="99"/>
    <w:qFormat/>
    <w:rsid w:val="00836ACB"/>
    <w:rPr>
      <w:rFonts w:cs="Calibri"/>
      <w:sz w:val="24"/>
      <w:szCs w:val="24"/>
      <w:lang w:val="en-GB" w:eastAsia="ja-JP"/>
    </w:rPr>
  </w:style>
  <w:style w:type="paragraph" w:styleId="NormalWeb">
    <w:name w:val="Normal (Web)"/>
    <w:basedOn w:val="Normal"/>
    <w:uiPriority w:val="99"/>
    <w:rsid w:val="00836ACB"/>
  </w:style>
  <w:style w:type="paragraph" w:styleId="NormalIndent">
    <w:name w:val="Normal Indent"/>
    <w:basedOn w:val="Normal"/>
    <w:uiPriority w:val="99"/>
    <w:rsid w:val="00836ACB"/>
    <w:pPr>
      <w:ind w:left="720"/>
    </w:pPr>
  </w:style>
  <w:style w:type="paragraph" w:customStyle="1" w:styleId="NormalIndent1">
    <w:name w:val="Normal Indent 1"/>
    <w:basedOn w:val="Normal"/>
    <w:uiPriority w:val="99"/>
    <w:rsid w:val="00836ACB"/>
    <w:pPr>
      <w:ind w:left="360"/>
    </w:pPr>
  </w:style>
  <w:style w:type="paragraph" w:customStyle="1" w:styleId="NormalIndent2">
    <w:name w:val="Normal Indent 2"/>
    <w:basedOn w:val="Normal"/>
    <w:uiPriority w:val="99"/>
    <w:rsid w:val="00836ACB"/>
    <w:pPr>
      <w:ind w:left="720"/>
    </w:pPr>
  </w:style>
  <w:style w:type="paragraph" w:customStyle="1" w:styleId="NormalIndent3">
    <w:name w:val="Normal Indent 3"/>
    <w:basedOn w:val="Normal"/>
    <w:uiPriority w:val="99"/>
    <w:rsid w:val="00836ACB"/>
    <w:pPr>
      <w:ind w:left="1080"/>
    </w:pPr>
  </w:style>
  <w:style w:type="paragraph" w:customStyle="1" w:styleId="NormalIndent4">
    <w:name w:val="Normal Indent 4"/>
    <w:basedOn w:val="Normal"/>
    <w:uiPriority w:val="99"/>
    <w:rsid w:val="00836ACB"/>
    <w:pPr>
      <w:ind w:left="1440"/>
    </w:pPr>
  </w:style>
  <w:style w:type="paragraph" w:styleId="NoteHeading">
    <w:name w:val="Note Heading"/>
    <w:basedOn w:val="Normal"/>
    <w:next w:val="Normal"/>
    <w:link w:val="NoteHeadingChar"/>
    <w:uiPriority w:val="99"/>
    <w:rsid w:val="00836ACB"/>
    <w:pPr>
      <w:spacing w:before="200" w:line="200" w:lineRule="atLeast"/>
    </w:pPr>
    <w:rPr>
      <w:rFonts w:ascii="Cambria" w:hAnsi="Cambria" w:cs="Cambria"/>
      <w:sz w:val="16"/>
      <w:szCs w:val="16"/>
    </w:rPr>
  </w:style>
  <w:style w:type="character" w:customStyle="1" w:styleId="NoteHeadingChar">
    <w:name w:val="Note Heading Char"/>
    <w:link w:val="NoteHeading"/>
    <w:uiPriority w:val="99"/>
    <w:rsid w:val="00836ACB"/>
    <w:rPr>
      <w:rFonts w:ascii="Cambria" w:eastAsia="PMingLiU" w:hAnsi="Cambria" w:cs="Cambria"/>
      <w:sz w:val="16"/>
      <w:szCs w:val="16"/>
      <w:lang w:val="en-GB" w:eastAsia="ja-JP"/>
    </w:rPr>
  </w:style>
  <w:style w:type="table" w:customStyle="1" w:styleId="OWTable">
    <w:name w:val="OW Table"/>
    <w:uiPriority w:val="99"/>
    <w:rsid w:val="00836ACB"/>
    <w:rPr>
      <w:rFonts w:cs="Calibri"/>
      <w:lang w:val="en-GB" w:eastAsia="zh-CN"/>
    </w:rPr>
    <w:tblPr>
      <w:tblStyleRowBandSize w:val="1"/>
      <w:tblInd w:w="0" w:type="dxa"/>
      <w:tblCellMar>
        <w:top w:w="0" w:type="dxa"/>
        <w:left w:w="108" w:type="dxa"/>
        <w:bottom w:w="0" w:type="dxa"/>
        <w:right w:w="108" w:type="dxa"/>
      </w:tblCellMar>
    </w:tblPr>
  </w:style>
  <w:style w:type="paragraph" w:customStyle="1" w:styleId="Page2Heading">
    <w:name w:val="Page 2 Heading"/>
    <w:basedOn w:val="AddresseeInfo"/>
    <w:uiPriority w:val="99"/>
    <w:rsid w:val="00836ACB"/>
    <w:pPr>
      <w:tabs>
        <w:tab w:val="right" w:pos="9360"/>
      </w:tabs>
      <w:spacing w:line="240" w:lineRule="auto"/>
    </w:pPr>
    <w:rPr>
      <w:rFonts w:eastAsia="PMingLiU"/>
      <w:b w:val="0"/>
      <w:bCs w:val="0"/>
      <w:caps w:val="0"/>
      <w:sz w:val="18"/>
      <w:szCs w:val="18"/>
      <w:lang w:val="es-ES_tradnl"/>
    </w:rPr>
  </w:style>
  <w:style w:type="character" w:styleId="PageNumber">
    <w:name w:val="page number"/>
    <w:uiPriority w:val="99"/>
    <w:rsid w:val="00836ACB"/>
    <w:rPr>
      <w:rFonts w:ascii="Calibri" w:eastAsia="PMingLiU" w:hAnsi="Calibri" w:cs="Calibri"/>
      <w:sz w:val="20"/>
      <w:szCs w:val="20"/>
      <w:u w:val="none"/>
    </w:rPr>
  </w:style>
  <w:style w:type="character" w:styleId="PlaceholderText">
    <w:name w:val="Placeholder Text"/>
    <w:uiPriority w:val="99"/>
    <w:semiHidden/>
    <w:rsid w:val="00836ACB"/>
    <w:rPr>
      <w:color w:val="808080"/>
      <w:sz w:val="24"/>
      <w:szCs w:val="24"/>
    </w:rPr>
  </w:style>
  <w:style w:type="paragraph" w:styleId="PlainText">
    <w:name w:val="Plain Text"/>
    <w:basedOn w:val="Normal"/>
    <w:link w:val="PlainTextChar"/>
    <w:uiPriority w:val="99"/>
    <w:rsid w:val="00836ACB"/>
    <w:pPr>
      <w:spacing w:after="0"/>
    </w:pPr>
    <w:rPr>
      <w:rFonts w:ascii="Consolas" w:hAnsi="Consolas" w:cs="Consolas"/>
      <w:sz w:val="21"/>
      <w:szCs w:val="21"/>
    </w:rPr>
  </w:style>
  <w:style w:type="character" w:customStyle="1" w:styleId="PlainTextChar">
    <w:name w:val="Plain Text Char"/>
    <w:link w:val="PlainText"/>
    <w:uiPriority w:val="99"/>
    <w:rsid w:val="00836ACB"/>
    <w:rPr>
      <w:rFonts w:ascii="Consolas" w:hAnsi="Consolas" w:cs="Consolas"/>
      <w:sz w:val="21"/>
      <w:szCs w:val="21"/>
      <w:lang w:val="en-GB" w:eastAsia="ja-JP"/>
    </w:rPr>
  </w:style>
  <w:style w:type="paragraph" w:styleId="Quote">
    <w:name w:val="Quote"/>
    <w:basedOn w:val="Normal"/>
    <w:next w:val="Normal"/>
    <w:link w:val="QuoteChar"/>
    <w:uiPriority w:val="99"/>
    <w:qFormat/>
    <w:rsid w:val="00836ACB"/>
    <w:rPr>
      <w:i/>
      <w:iCs/>
      <w:color w:val="000000"/>
    </w:rPr>
  </w:style>
  <w:style w:type="character" w:customStyle="1" w:styleId="QuoteChar">
    <w:name w:val="Quote Char"/>
    <w:link w:val="Quote"/>
    <w:uiPriority w:val="99"/>
    <w:rsid w:val="00836ACB"/>
    <w:rPr>
      <w:i/>
      <w:iCs/>
      <w:color w:val="000000"/>
      <w:sz w:val="24"/>
      <w:szCs w:val="24"/>
      <w:lang w:val="en-GB" w:eastAsia="ja-JP"/>
    </w:rPr>
  </w:style>
  <w:style w:type="paragraph" w:customStyle="1" w:styleId="ReportCrossRef">
    <w:name w:val="Report Cross Ref"/>
    <w:basedOn w:val="Normal"/>
    <w:uiPriority w:val="99"/>
    <w:rsid w:val="00836ACB"/>
    <w:pPr>
      <w:spacing w:line="200" w:lineRule="atLeast"/>
    </w:pPr>
    <w:rPr>
      <w:rFonts w:ascii="Cambria" w:hAnsi="Cambria" w:cs="Cambria"/>
    </w:rPr>
  </w:style>
  <w:style w:type="paragraph" w:customStyle="1" w:styleId="ReportTitle">
    <w:name w:val="Report Title"/>
    <w:basedOn w:val="Normal"/>
    <w:next w:val="LetterDate"/>
    <w:uiPriority w:val="99"/>
    <w:rsid w:val="00836ACB"/>
    <w:pPr>
      <w:spacing w:before="300" w:line="520" w:lineRule="atLeast"/>
    </w:pPr>
    <w:rPr>
      <w:rFonts w:ascii="Cambria" w:hAnsi="Cambria" w:cs="Cambria"/>
      <w:b/>
      <w:bCs/>
      <w:sz w:val="44"/>
      <w:szCs w:val="44"/>
    </w:rPr>
  </w:style>
  <w:style w:type="paragraph" w:styleId="Salutation">
    <w:name w:val="Salutation"/>
    <w:basedOn w:val="Normal"/>
    <w:next w:val="Normal"/>
    <w:link w:val="SalutationChar"/>
    <w:uiPriority w:val="99"/>
    <w:rsid w:val="00836ACB"/>
  </w:style>
  <w:style w:type="character" w:customStyle="1" w:styleId="SalutationChar">
    <w:name w:val="Salutation Char"/>
    <w:link w:val="Salutation"/>
    <w:uiPriority w:val="99"/>
    <w:rsid w:val="00836ACB"/>
    <w:rPr>
      <w:sz w:val="24"/>
      <w:szCs w:val="24"/>
      <w:lang w:val="en-GB" w:eastAsia="ja-JP"/>
    </w:rPr>
  </w:style>
  <w:style w:type="paragraph" w:styleId="Signature">
    <w:name w:val="Signature"/>
    <w:basedOn w:val="Normal"/>
    <w:link w:val="SignatureChar"/>
    <w:uiPriority w:val="99"/>
    <w:rsid w:val="00836ACB"/>
    <w:pPr>
      <w:spacing w:after="0"/>
      <w:ind w:left="4252"/>
    </w:pPr>
  </w:style>
  <w:style w:type="character" w:customStyle="1" w:styleId="SignatureChar">
    <w:name w:val="Signature Char"/>
    <w:link w:val="Signature"/>
    <w:uiPriority w:val="99"/>
    <w:rsid w:val="00836ACB"/>
    <w:rPr>
      <w:sz w:val="24"/>
      <w:szCs w:val="24"/>
      <w:lang w:val="en-GB" w:eastAsia="ja-JP"/>
    </w:rPr>
  </w:style>
  <w:style w:type="character" w:styleId="Strong">
    <w:name w:val="Strong"/>
    <w:uiPriority w:val="99"/>
    <w:qFormat/>
    <w:rsid w:val="00836ACB"/>
    <w:rPr>
      <w:b/>
      <w:bCs/>
      <w:sz w:val="24"/>
      <w:szCs w:val="24"/>
    </w:rPr>
  </w:style>
  <w:style w:type="paragraph" w:customStyle="1" w:styleId="Subject">
    <w:name w:val="Subject"/>
    <w:basedOn w:val="Normal"/>
    <w:link w:val="SubjectChar"/>
    <w:uiPriority w:val="99"/>
    <w:rsid w:val="00836ACB"/>
    <w:pPr>
      <w:spacing w:after="0" w:line="280" w:lineRule="atLeast"/>
    </w:pPr>
    <w:rPr>
      <w:rFonts w:ascii="Cambria" w:hAnsi="Cambria" w:cs="Cambria"/>
      <w:sz w:val="20"/>
      <w:szCs w:val="20"/>
      <w:lang w:eastAsia="en-US"/>
    </w:rPr>
  </w:style>
  <w:style w:type="character" w:customStyle="1" w:styleId="SubjectChar">
    <w:name w:val="Subject Char"/>
    <w:link w:val="Subject"/>
    <w:uiPriority w:val="99"/>
    <w:rsid w:val="00836ACB"/>
    <w:rPr>
      <w:rFonts w:ascii="Cambria" w:eastAsia="PMingLiU" w:hAnsi="Cambria" w:cs="Cambria"/>
      <w:sz w:val="20"/>
      <w:szCs w:val="20"/>
      <w:lang w:val="en-GB" w:eastAsia="en-US"/>
    </w:rPr>
  </w:style>
  <w:style w:type="paragraph" w:styleId="Subtitle">
    <w:name w:val="Subtitle"/>
    <w:basedOn w:val="Title"/>
    <w:link w:val="SubtitleChar"/>
    <w:uiPriority w:val="99"/>
    <w:qFormat/>
    <w:rsid w:val="00836ACB"/>
    <w:rPr>
      <w:caps w:val="0"/>
      <w:sz w:val="28"/>
      <w:szCs w:val="28"/>
    </w:rPr>
  </w:style>
  <w:style w:type="character" w:customStyle="1" w:styleId="SubtitleChar">
    <w:name w:val="Subtitle Char"/>
    <w:link w:val="Subtitle"/>
    <w:uiPriority w:val="99"/>
    <w:rsid w:val="00836ACB"/>
    <w:rPr>
      <w:rFonts w:ascii="Cambria" w:eastAsia="PMingLiU" w:hAnsi="Cambria" w:cs="Cambria"/>
      <w:b/>
      <w:bCs/>
      <w:sz w:val="28"/>
      <w:szCs w:val="28"/>
      <w:lang w:val="en-GB" w:eastAsia="en-US"/>
    </w:rPr>
  </w:style>
  <w:style w:type="paragraph" w:styleId="Title">
    <w:name w:val="Title"/>
    <w:basedOn w:val="Normal"/>
    <w:link w:val="TitleChar"/>
    <w:uiPriority w:val="99"/>
    <w:qFormat/>
    <w:rsid w:val="00836ACB"/>
    <w:pPr>
      <w:keepNext/>
      <w:keepLines/>
      <w:spacing w:after="0"/>
      <w:jc w:val="center"/>
    </w:pPr>
    <w:rPr>
      <w:rFonts w:ascii="Cambria" w:hAnsi="Cambria" w:cs="Cambria"/>
      <w:b/>
      <w:bCs/>
      <w:caps/>
      <w:sz w:val="36"/>
      <w:szCs w:val="36"/>
      <w:lang w:eastAsia="en-US"/>
    </w:rPr>
  </w:style>
  <w:style w:type="character" w:customStyle="1" w:styleId="TitleChar">
    <w:name w:val="Title Char"/>
    <w:link w:val="Title"/>
    <w:uiPriority w:val="99"/>
    <w:rsid w:val="00836ACB"/>
    <w:rPr>
      <w:rFonts w:ascii="Cambria" w:eastAsia="PMingLiU" w:hAnsi="Cambria" w:cs="Cambria"/>
      <w:b/>
      <w:bCs/>
      <w:caps/>
      <w:sz w:val="36"/>
      <w:szCs w:val="36"/>
      <w:lang w:val="en-GB" w:eastAsia="en-US"/>
    </w:rPr>
  </w:style>
  <w:style w:type="character" w:styleId="SubtleEmphasis">
    <w:name w:val="Subtle Emphasis"/>
    <w:uiPriority w:val="99"/>
    <w:qFormat/>
    <w:rsid w:val="00836ACB"/>
    <w:rPr>
      <w:i/>
      <w:iCs/>
      <w:color w:val="808080"/>
      <w:sz w:val="24"/>
      <w:szCs w:val="24"/>
    </w:rPr>
  </w:style>
  <w:style w:type="character" w:styleId="SubtleReference">
    <w:name w:val="Subtle Reference"/>
    <w:uiPriority w:val="99"/>
    <w:qFormat/>
    <w:rsid w:val="00836ACB"/>
    <w:rPr>
      <w:smallCaps/>
      <w:color w:val="C0504D"/>
      <w:sz w:val="24"/>
      <w:szCs w:val="24"/>
      <w:u w:val="single"/>
    </w:rPr>
  </w:style>
  <w:style w:type="paragraph" w:customStyle="1" w:styleId="Table">
    <w:name w:val="Table"/>
    <w:basedOn w:val="Normal"/>
    <w:uiPriority w:val="99"/>
    <w:rsid w:val="00836ACB"/>
    <w:pPr>
      <w:keepNext/>
      <w:spacing w:after="0"/>
      <w:jc w:val="both"/>
    </w:pPr>
    <w:rPr>
      <w:rFonts w:ascii="Cambria" w:hAnsi="Cambria" w:cs="Cambria"/>
      <w:lang w:eastAsia="en-GB"/>
    </w:rPr>
  </w:style>
  <w:style w:type="table" w:styleId="Table3Deffects1">
    <w:name w:val="Table 3D effects 1"/>
    <w:basedOn w:val="TableNormal"/>
    <w:uiPriority w:val="99"/>
    <w:rsid w:val="00836ACB"/>
    <w:pPr>
      <w:spacing w:after="240"/>
    </w:pPr>
    <w:rPr>
      <w:rFonts w:ascii="Times New Roman" w:hAnsi="Times New Roman"/>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36ACB"/>
    <w:pPr>
      <w:spacing w:after="240"/>
    </w:pPr>
    <w:rPr>
      <w:rFonts w:ascii="Times New Roman" w:hAnsi="Times New Roman"/>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836ACB"/>
    <w:pPr>
      <w:spacing w:after="240"/>
    </w:pPr>
    <w:rPr>
      <w:rFonts w:ascii="Times New Roman" w:hAnsi="Times New Roman"/>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99"/>
    <w:rsid w:val="00836ACB"/>
    <w:pPr>
      <w:numPr>
        <w:ilvl w:val="4"/>
        <w:numId w:val="12"/>
      </w:numPr>
      <w:spacing w:before="40" w:after="40"/>
      <w:outlineLvl w:val="4"/>
    </w:pPr>
    <w:rPr>
      <w:rFonts w:ascii="Arial" w:hAnsi="Arial" w:cs="Arial"/>
      <w:sz w:val="20"/>
      <w:szCs w:val="20"/>
      <w:lang w:eastAsia="en-US"/>
    </w:rPr>
  </w:style>
  <w:style w:type="paragraph" w:customStyle="1" w:styleId="TableBullet2">
    <w:name w:val="Table Bullet 2"/>
    <w:basedOn w:val="Normal"/>
    <w:uiPriority w:val="99"/>
    <w:rsid w:val="00836ACB"/>
    <w:pPr>
      <w:numPr>
        <w:ilvl w:val="5"/>
        <w:numId w:val="12"/>
      </w:numPr>
      <w:spacing w:before="40" w:after="40"/>
      <w:outlineLvl w:val="5"/>
    </w:pPr>
    <w:rPr>
      <w:rFonts w:ascii="Arial" w:hAnsi="Arial" w:cs="Arial"/>
      <w:sz w:val="20"/>
      <w:szCs w:val="20"/>
      <w:lang w:eastAsia="en-US"/>
    </w:rPr>
  </w:style>
  <w:style w:type="paragraph" w:customStyle="1" w:styleId="TableBullet3">
    <w:name w:val="Table Bullet 3"/>
    <w:basedOn w:val="Normal"/>
    <w:uiPriority w:val="99"/>
    <w:rsid w:val="00836ACB"/>
    <w:pPr>
      <w:numPr>
        <w:ilvl w:val="6"/>
        <w:numId w:val="12"/>
      </w:numPr>
      <w:spacing w:before="40" w:after="40"/>
      <w:outlineLvl w:val="6"/>
    </w:pPr>
    <w:rPr>
      <w:rFonts w:ascii="Arial" w:hAnsi="Arial" w:cs="Arial"/>
      <w:sz w:val="20"/>
      <w:szCs w:val="20"/>
      <w:lang w:eastAsia="en-US"/>
    </w:rPr>
  </w:style>
  <w:style w:type="paragraph" w:customStyle="1" w:styleId="TableBullet4">
    <w:name w:val="Table Bullet 4"/>
    <w:basedOn w:val="Normal"/>
    <w:uiPriority w:val="99"/>
    <w:rsid w:val="00836ACB"/>
    <w:pPr>
      <w:numPr>
        <w:ilvl w:val="7"/>
        <w:numId w:val="12"/>
      </w:numPr>
      <w:spacing w:before="40" w:after="40"/>
      <w:outlineLvl w:val="7"/>
    </w:pPr>
    <w:rPr>
      <w:rFonts w:ascii="Arial" w:hAnsi="Arial" w:cs="Arial"/>
      <w:sz w:val="20"/>
      <w:szCs w:val="20"/>
      <w:lang w:eastAsia="en-US"/>
    </w:rPr>
  </w:style>
  <w:style w:type="table" w:styleId="TableClassic1">
    <w:name w:val="Table Classic 1"/>
    <w:basedOn w:val="TableNormal"/>
    <w:uiPriority w:val="99"/>
    <w:rsid w:val="00836ACB"/>
    <w:pPr>
      <w:spacing w:after="240"/>
    </w:pPr>
    <w:rPr>
      <w:rFonts w:ascii="Times New Roma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836ACB"/>
    <w:pPr>
      <w:spacing w:after="240"/>
    </w:pPr>
    <w:rPr>
      <w:rFonts w:ascii="Times New Roma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836ACB"/>
    <w:pPr>
      <w:spacing w:after="240"/>
    </w:pPr>
    <w:rPr>
      <w:rFonts w:ascii="Times New Roman" w:hAnsi="Times New Roman"/>
      <w:color w:val="00008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36ACB"/>
    <w:pPr>
      <w:spacing w:after="240"/>
    </w:pPr>
    <w:rPr>
      <w:rFonts w:ascii="Times New Roman" w:hAnsi="Times New Roman"/>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836ACB"/>
    <w:pPr>
      <w:spacing w:after="240"/>
    </w:pPr>
    <w:rPr>
      <w:rFonts w:ascii="Times New Roman" w:hAnsi="Times New Roman"/>
      <w:color w:val="FFFFFF"/>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836ACB"/>
    <w:pPr>
      <w:spacing w:after="240"/>
    </w:pPr>
    <w:rPr>
      <w:rFonts w:ascii="Times New Roman" w:hAnsi="Times New Roman"/>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836ACB"/>
    <w:pPr>
      <w:spacing w:after="240"/>
    </w:pPr>
    <w:rPr>
      <w:rFonts w:ascii="Times New Roman" w:hAnsi="Times New Roman"/>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836ACB"/>
    <w:pPr>
      <w:spacing w:after="240"/>
    </w:pPr>
    <w:rPr>
      <w:rFonts w:ascii="Times New Roman" w:hAnsi="Times New Roman"/>
      <w:b/>
      <w:bCs/>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836ACB"/>
    <w:pPr>
      <w:spacing w:after="240"/>
    </w:pPr>
    <w:rPr>
      <w:rFonts w:ascii="Times New Roman" w:hAnsi="Times New Roman"/>
      <w:b/>
      <w:bCs/>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836ACB"/>
    <w:pPr>
      <w:spacing w:after="240"/>
    </w:pPr>
    <w:rPr>
      <w:rFonts w:ascii="Times New Roman" w:hAnsi="Times New Roman"/>
      <w:b/>
      <w:bCs/>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836ACB"/>
    <w:pPr>
      <w:spacing w:after="240"/>
    </w:pPr>
    <w:rPr>
      <w:rFonts w:ascii="Times New Roman" w:hAnsi="Times New Roman"/>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836ACB"/>
    <w:pPr>
      <w:spacing w:after="240"/>
    </w:pPr>
    <w:rPr>
      <w:rFonts w:ascii="Times New Roman" w:hAnsi="Times New Roman"/>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836ACB"/>
    <w:pPr>
      <w:spacing w:before="120" w:after="120"/>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blStylePr w:type="firstRow">
      <w:rPr>
        <w:rFonts w:ascii="Arial" w:hAnsi="Arial" w:cs="Arial"/>
        <w:b/>
        <w:bCs/>
        <w:color w:val="auto"/>
        <w:sz w:val="24"/>
        <w:szCs w:val="24"/>
      </w:rPr>
      <w:tblPr/>
      <w:tcPr>
        <w:tcBorders>
          <w:top w:val="nil"/>
          <w:left w:val="nil"/>
          <w:bottom w:val="nil"/>
          <w:right w:val="nil"/>
          <w:insideH w:val="nil"/>
          <w:insideV w:val="nil"/>
          <w:tl2br w:val="nil"/>
          <w:tr2bl w:val="nil"/>
        </w:tcBorders>
        <w:shd w:val="clear" w:color="000000" w:fill="auto"/>
      </w:tcPr>
    </w:tblStylePr>
    <w:tblStylePr w:type="firstCol">
      <w:pPr>
        <w:jc w:val="left"/>
      </w:pPr>
      <w:rPr>
        <w:rFonts w:ascii="Arial" w:hAnsi="Arial" w:cs="Arial"/>
        <w:sz w:val="24"/>
        <w:szCs w:val="24"/>
      </w:rPr>
    </w:tblStylePr>
    <w:tblStylePr w:type="band1Horz">
      <w:rPr>
        <w:rFonts w:ascii="Arial" w:hAnsi="Arial" w:cs="Arial"/>
        <w:color w:val="auto"/>
        <w:sz w:val="24"/>
        <w:szCs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s="Arial"/>
        <w:color w:val="auto"/>
        <w:sz w:val="24"/>
        <w:szCs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uiPriority w:val="99"/>
    <w:rsid w:val="00836ACB"/>
    <w:pPr>
      <w:spacing w:after="240"/>
    </w:pPr>
    <w:rPr>
      <w:rFonts w:ascii="Times New Roman" w:hAnsi="Times New Roman"/>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836ACB"/>
    <w:pPr>
      <w:spacing w:after="24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836ACB"/>
    <w:pPr>
      <w:spacing w:after="240"/>
    </w:pPr>
    <w:rPr>
      <w:rFonts w:ascii="Times New Roman" w:hAnsi="Times New Roman"/>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836ACB"/>
    <w:pPr>
      <w:spacing w:after="240"/>
    </w:pPr>
    <w:rPr>
      <w:rFonts w:ascii="Times New Roman" w:hAnsi="Times New Roman"/>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836ACB"/>
    <w:pPr>
      <w:spacing w:after="240"/>
    </w:pPr>
    <w:rPr>
      <w:rFonts w:ascii="Times New Roman" w:hAnsi="Times New Roman"/>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836ACB"/>
    <w:pPr>
      <w:spacing w:after="240"/>
    </w:pPr>
    <w:rPr>
      <w:rFonts w:ascii="Times New Roman" w:hAnsi="Times New Roman"/>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836ACB"/>
    <w:pPr>
      <w:spacing w:after="240"/>
    </w:pPr>
    <w:rPr>
      <w:rFonts w:ascii="Times New Roman" w:hAnsi="Times New Roman"/>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836ACB"/>
    <w:pPr>
      <w:spacing w:after="240"/>
    </w:pPr>
    <w:rPr>
      <w:rFonts w:ascii="Times New Roman" w:hAnsi="Times New Roman"/>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836ACB"/>
    <w:pPr>
      <w:spacing w:after="240"/>
    </w:pPr>
    <w:rPr>
      <w:rFonts w:ascii="Times New Roman" w:hAnsi="Times New Roman"/>
      <w:b/>
      <w:bCs/>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836ACB"/>
    <w:pPr>
      <w:spacing w:after="240"/>
    </w:pPr>
    <w:rPr>
      <w:rFonts w:ascii="Times New Roman" w:hAnsi="Times New Roman"/>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uiPriority w:val="99"/>
    <w:rsid w:val="00836ACB"/>
    <w:pPr>
      <w:spacing w:before="60" w:after="60"/>
    </w:pPr>
    <w:rPr>
      <w:rFonts w:ascii="Cambria" w:hAnsi="Cambria" w:cs="Cambria"/>
      <w:b/>
      <w:bCs/>
      <w:sz w:val="18"/>
      <w:szCs w:val="18"/>
    </w:rPr>
  </w:style>
  <w:style w:type="table" w:styleId="TableList1">
    <w:name w:val="Table List 1"/>
    <w:basedOn w:val="TableNormal"/>
    <w:uiPriority w:val="99"/>
    <w:rsid w:val="00836ACB"/>
    <w:pPr>
      <w:spacing w:after="240"/>
    </w:pPr>
    <w:rPr>
      <w:rFonts w:ascii="Times New Roman" w:hAnsi="Times New Roman"/>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836ACB"/>
    <w:pPr>
      <w:spacing w:after="240"/>
    </w:pPr>
    <w:rPr>
      <w:rFonts w:ascii="Times New Roman" w:hAnsi="Times New Roman"/>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836ACB"/>
    <w:pPr>
      <w:spacing w:after="240"/>
    </w:pPr>
    <w:rPr>
      <w:rFonts w:ascii="Times New Roman" w:hAnsi="Times New Roman"/>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836ACB"/>
    <w:pPr>
      <w:spacing w:after="240"/>
    </w:pPr>
    <w:rPr>
      <w:rFonts w:ascii="Times New Roman" w:hAnsi="Times New Roman"/>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836ACB"/>
    <w:pPr>
      <w:spacing w:after="240"/>
    </w:pPr>
    <w:rPr>
      <w:rFonts w:ascii="Times New Roman" w:hAnsi="Times New Roman"/>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836ACB"/>
    <w:pPr>
      <w:spacing w:after="240"/>
    </w:pPr>
    <w:rPr>
      <w:rFonts w:ascii="Times New Roman" w:hAnsi="Times New Roman"/>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836ACB"/>
    <w:pPr>
      <w:spacing w:after="240"/>
    </w:pPr>
    <w:rPr>
      <w:rFonts w:ascii="Times New Roman" w:hAnsi="Times New Roman"/>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836ACB"/>
    <w:pPr>
      <w:spacing w:after="240"/>
    </w:pPr>
    <w:rPr>
      <w:rFonts w:ascii="Times New Roman" w:hAnsi="Times New Roman"/>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uiPriority w:val="99"/>
    <w:rsid w:val="00836ACB"/>
    <w:rPr>
      <w:rFonts w:ascii="Cambria" w:hAnsi="Cambria" w:cs="Cambria"/>
    </w:rPr>
  </w:style>
  <w:style w:type="paragraph" w:styleId="TableofAuthorities">
    <w:name w:val="table of authorities"/>
    <w:basedOn w:val="Normal"/>
    <w:next w:val="Normal"/>
    <w:uiPriority w:val="99"/>
    <w:semiHidden/>
    <w:rsid w:val="00836ACB"/>
    <w:pPr>
      <w:spacing w:after="0"/>
      <w:ind w:left="240" w:hanging="240"/>
    </w:pPr>
  </w:style>
  <w:style w:type="paragraph" w:styleId="TableofFigures">
    <w:name w:val="table of figures"/>
    <w:basedOn w:val="TOC2"/>
    <w:next w:val="Normal"/>
    <w:uiPriority w:val="99"/>
    <w:semiHidden/>
    <w:rsid w:val="00836ACB"/>
    <w:pPr>
      <w:spacing w:before="100" w:beforeAutospacing="1" w:afterAutospacing="1"/>
      <w:contextualSpacing/>
    </w:pPr>
    <w:rPr>
      <w:sz w:val="20"/>
      <w:szCs w:val="20"/>
    </w:rPr>
  </w:style>
  <w:style w:type="paragraph" w:styleId="TOC2">
    <w:name w:val="toc 2"/>
    <w:basedOn w:val="TOC1"/>
    <w:next w:val="Normal"/>
    <w:uiPriority w:val="99"/>
    <w:semiHidden/>
    <w:rsid w:val="00836ACB"/>
    <w:pPr>
      <w:spacing w:before="0"/>
    </w:pPr>
    <w:rPr>
      <w:sz w:val="26"/>
      <w:szCs w:val="26"/>
    </w:rPr>
  </w:style>
  <w:style w:type="table" w:styleId="TableProfessional">
    <w:name w:val="Table Professional"/>
    <w:basedOn w:val="TableNormal"/>
    <w:uiPriority w:val="99"/>
    <w:rsid w:val="00836ACB"/>
    <w:pPr>
      <w:spacing w:after="240"/>
    </w:pPr>
    <w:rPr>
      <w:rFonts w:ascii="Times New Roman" w:hAnsi="Times New Roman"/>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836ACB"/>
    <w:pPr>
      <w:spacing w:after="240"/>
    </w:pPr>
    <w:rPr>
      <w:rFonts w:ascii="Times New Roman" w:hAnsi="Times New Roman"/>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836ACB"/>
    <w:pPr>
      <w:spacing w:after="240"/>
    </w:pPr>
    <w:rPr>
      <w:rFonts w:ascii="Times New Roman" w:hAnsi="Times New Roman"/>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836ACB"/>
    <w:pPr>
      <w:spacing w:after="240"/>
    </w:pPr>
    <w:rPr>
      <w:rFonts w:ascii="Times New Roman" w:hAnsi="Times New Roman"/>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36ACB"/>
    <w:pPr>
      <w:spacing w:after="240"/>
    </w:pPr>
    <w:rPr>
      <w:rFonts w:ascii="Times New Roman" w:hAnsi="Times New Roman"/>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36ACB"/>
    <w:pPr>
      <w:spacing w:after="240"/>
    </w:pPr>
    <w:rPr>
      <w:rFonts w:ascii="Times New Roman" w:hAnsi="Times New Roman"/>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99"/>
    <w:rsid w:val="00836ACB"/>
    <w:pPr>
      <w:spacing w:before="40" w:after="40"/>
    </w:pPr>
    <w:rPr>
      <w:rFonts w:ascii="Cambria" w:hAnsi="Cambria" w:cs="Cambria"/>
      <w:sz w:val="20"/>
      <w:szCs w:val="20"/>
    </w:rPr>
  </w:style>
  <w:style w:type="table" w:styleId="TableTheme">
    <w:name w:val="Table Theme"/>
    <w:basedOn w:val="TableNormal"/>
    <w:uiPriority w:val="99"/>
    <w:rsid w:val="00836ACB"/>
    <w:pPr>
      <w:spacing w:after="24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836ACB"/>
    <w:pPr>
      <w:spacing w:after="240"/>
    </w:pPr>
    <w:rPr>
      <w:rFonts w:ascii="Times New Roman" w:hAnsi="Times New Roman"/>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836ACB"/>
    <w:pPr>
      <w:spacing w:after="240"/>
    </w:pPr>
    <w:rPr>
      <w:rFonts w:ascii="Times New Roman" w:hAnsi="Times New Roman"/>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36ACB"/>
    <w:pPr>
      <w:spacing w:after="240"/>
    </w:pPr>
    <w:rPr>
      <w:rFonts w:ascii="Times New Roman" w:hAnsi="Times New Roman"/>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TextHide">
    <w:name w:val="Text Hide"/>
    <w:uiPriority w:val="99"/>
    <w:rsid w:val="00836ACB"/>
    <w:rPr>
      <w:sz w:val="24"/>
      <w:szCs w:val="24"/>
    </w:rPr>
  </w:style>
  <w:style w:type="paragraph" w:customStyle="1" w:styleId="TextBox">
    <w:name w:val="TextBox"/>
    <w:basedOn w:val="Normal"/>
    <w:next w:val="Normal"/>
    <w:uiPriority w:val="99"/>
    <w:rsid w:val="00836ACB"/>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TextBox"/>
    <w:uiPriority w:val="99"/>
    <w:rsid w:val="00836ACB"/>
    <w:pPr>
      <w:keepNext/>
      <w:numPr>
        <w:numId w:val="13"/>
      </w:numPr>
    </w:pPr>
  </w:style>
  <w:style w:type="paragraph" w:styleId="TOAHeading">
    <w:name w:val="toa heading"/>
    <w:basedOn w:val="Normal"/>
    <w:next w:val="Normal"/>
    <w:uiPriority w:val="99"/>
    <w:semiHidden/>
    <w:rsid w:val="00836ACB"/>
    <w:pPr>
      <w:spacing w:before="120"/>
    </w:pPr>
    <w:rPr>
      <w:rFonts w:ascii="Cambria" w:hAnsi="Cambria" w:cs="Cambria"/>
      <w:b/>
      <w:bCs/>
    </w:rPr>
  </w:style>
  <w:style w:type="paragraph" w:styleId="TOC1">
    <w:name w:val="toc 1"/>
    <w:basedOn w:val="Heading1"/>
    <w:next w:val="Normal"/>
    <w:uiPriority w:val="99"/>
    <w:semiHidden/>
    <w:rsid w:val="00836ACB"/>
    <w:pPr>
      <w:keepNext w:val="0"/>
      <w:numPr>
        <w:numId w:val="0"/>
      </w:numPr>
      <w:tabs>
        <w:tab w:val="left" w:pos="1354"/>
        <w:tab w:val="right" w:pos="8640"/>
      </w:tabs>
      <w:suppressAutoHyphens/>
      <w:spacing w:before="240" w:after="0"/>
      <w:ind w:right="1080"/>
      <w:outlineLvl w:val="9"/>
    </w:pPr>
    <w:rPr>
      <w:lang w:val="en-US" w:eastAsia="en-US"/>
    </w:rPr>
  </w:style>
  <w:style w:type="paragraph" w:styleId="TOC3">
    <w:name w:val="toc 3"/>
    <w:basedOn w:val="TOC2"/>
    <w:next w:val="Normal"/>
    <w:uiPriority w:val="99"/>
    <w:semiHidden/>
    <w:rsid w:val="00836ACB"/>
  </w:style>
  <w:style w:type="paragraph" w:styleId="TOC4">
    <w:name w:val="toc 4"/>
    <w:basedOn w:val="TOC3"/>
    <w:next w:val="Normal"/>
    <w:uiPriority w:val="99"/>
    <w:semiHidden/>
    <w:rsid w:val="00836ACB"/>
    <w:pPr>
      <w:tabs>
        <w:tab w:val="clear" w:pos="1354"/>
        <w:tab w:val="left" w:pos="1350"/>
      </w:tabs>
    </w:pPr>
  </w:style>
  <w:style w:type="paragraph" w:styleId="TOC5">
    <w:name w:val="toc 5"/>
    <w:basedOn w:val="TOC4"/>
    <w:next w:val="Normal"/>
    <w:uiPriority w:val="99"/>
    <w:semiHidden/>
    <w:rsid w:val="00836ACB"/>
  </w:style>
  <w:style w:type="paragraph" w:styleId="TOC6">
    <w:name w:val="toc 6"/>
    <w:basedOn w:val="TOC1"/>
    <w:next w:val="Normal"/>
    <w:autoRedefine/>
    <w:uiPriority w:val="99"/>
    <w:semiHidden/>
    <w:rsid w:val="00836ACB"/>
    <w:pPr>
      <w:tabs>
        <w:tab w:val="left" w:pos="1980"/>
      </w:tabs>
    </w:pPr>
  </w:style>
  <w:style w:type="paragraph" w:styleId="TOC7">
    <w:name w:val="toc 7"/>
    <w:basedOn w:val="Normal"/>
    <w:next w:val="Normal"/>
    <w:autoRedefine/>
    <w:uiPriority w:val="99"/>
    <w:semiHidden/>
    <w:rsid w:val="00836ACB"/>
    <w:pPr>
      <w:tabs>
        <w:tab w:val="right" w:pos="9029"/>
      </w:tabs>
      <w:spacing w:after="300" w:line="271" w:lineRule="auto"/>
      <w:ind w:left="1320"/>
      <w:jc w:val="both"/>
    </w:pPr>
    <w:rPr>
      <w:sz w:val="20"/>
      <w:szCs w:val="20"/>
    </w:rPr>
  </w:style>
  <w:style w:type="paragraph" w:styleId="TOC8">
    <w:name w:val="toc 8"/>
    <w:basedOn w:val="Normal"/>
    <w:next w:val="Normal"/>
    <w:autoRedefine/>
    <w:uiPriority w:val="99"/>
    <w:semiHidden/>
    <w:rsid w:val="00836ACB"/>
    <w:pPr>
      <w:tabs>
        <w:tab w:val="right" w:pos="9029"/>
      </w:tabs>
      <w:spacing w:after="300" w:line="271" w:lineRule="auto"/>
      <w:ind w:left="1540"/>
      <w:jc w:val="both"/>
    </w:pPr>
    <w:rPr>
      <w:sz w:val="20"/>
      <w:szCs w:val="20"/>
    </w:rPr>
  </w:style>
  <w:style w:type="paragraph" w:styleId="TOC9">
    <w:name w:val="toc 9"/>
    <w:basedOn w:val="Normal"/>
    <w:next w:val="Normal"/>
    <w:autoRedefine/>
    <w:uiPriority w:val="99"/>
    <w:semiHidden/>
    <w:rsid w:val="00836ACB"/>
    <w:pPr>
      <w:tabs>
        <w:tab w:val="right" w:pos="9029"/>
      </w:tabs>
      <w:spacing w:after="300" w:line="271" w:lineRule="auto"/>
      <w:ind w:left="1760"/>
      <w:jc w:val="both"/>
    </w:pPr>
    <w:rPr>
      <w:sz w:val="20"/>
      <w:szCs w:val="20"/>
    </w:rPr>
  </w:style>
  <w:style w:type="paragraph" w:styleId="TOCHeading">
    <w:name w:val="TOC Heading"/>
    <w:basedOn w:val="Normal"/>
    <w:uiPriority w:val="99"/>
    <w:qFormat/>
    <w:rsid w:val="00836ACB"/>
    <w:pPr>
      <w:spacing w:before="300" w:after="0" w:line="360" w:lineRule="atLeast"/>
    </w:pPr>
    <w:rPr>
      <w:rFonts w:ascii="Cambria" w:hAnsi="Cambria" w:cs="Cambria"/>
      <w:b/>
      <w:bCs/>
      <w:sz w:val="28"/>
      <w:szCs w:val="28"/>
      <w:lang w:eastAsia="en-US"/>
    </w:rPr>
  </w:style>
  <w:style w:type="paragraph" w:styleId="Revision">
    <w:name w:val="Revision"/>
    <w:hidden/>
    <w:uiPriority w:val="99"/>
    <w:semiHidden/>
    <w:rsid w:val="007C4788"/>
    <w:rPr>
      <w:rFonts w:cs="Calibri"/>
      <w:sz w:val="24"/>
      <w:szCs w:val="24"/>
      <w:lang w:val="en-GB" w:eastAsia="ja-JP"/>
    </w:rPr>
  </w:style>
  <w:style w:type="numbering" w:styleId="1ai">
    <w:name w:val="Outline List 1"/>
    <w:basedOn w:val="NoList"/>
    <w:uiPriority w:val="99"/>
    <w:semiHidden/>
    <w:unhideWhenUsed/>
    <w:rsid w:val="006842A7"/>
    <w:pPr>
      <w:numPr>
        <w:numId w:val="3"/>
      </w:numPr>
    </w:pPr>
  </w:style>
  <w:style w:type="numbering" w:customStyle="1" w:styleId="HeadingsList">
    <w:name w:val="Headings List"/>
    <w:rsid w:val="006842A7"/>
    <w:pPr>
      <w:numPr>
        <w:numId w:val="9"/>
      </w:numPr>
    </w:pPr>
  </w:style>
  <w:style w:type="numbering" w:customStyle="1" w:styleId="AppendicesList">
    <w:name w:val="Appendices List"/>
    <w:rsid w:val="006842A7"/>
    <w:pPr>
      <w:numPr>
        <w:numId w:val="4"/>
      </w:numPr>
    </w:pPr>
  </w:style>
  <w:style w:type="numbering" w:styleId="111111">
    <w:name w:val="Outline List 2"/>
    <w:basedOn w:val="NoList"/>
    <w:uiPriority w:val="99"/>
    <w:semiHidden/>
    <w:unhideWhenUsed/>
    <w:rsid w:val="006842A7"/>
    <w:pPr>
      <w:numPr>
        <w:numId w:val="2"/>
      </w:numPr>
    </w:pPr>
  </w:style>
  <w:style w:type="numbering" w:styleId="ArticleSection">
    <w:name w:val="Outline List 3"/>
    <w:basedOn w:val="NoList"/>
    <w:uiPriority w:val="99"/>
    <w:semiHidden/>
    <w:unhideWhenUsed/>
    <w:rsid w:val="006842A7"/>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ai"/>
    <w:pPr>
      <w:numPr>
        <w:numId w:val="3"/>
      </w:numPr>
    </w:pPr>
  </w:style>
  <w:style w:type="numbering" w:customStyle="1" w:styleId="Heading2Char">
    <w:name w:val="HeadingsList"/>
    <w:pPr>
      <w:numPr>
        <w:numId w:val="9"/>
      </w:numPr>
    </w:pPr>
  </w:style>
  <w:style w:type="numbering" w:customStyle="1" w:styleId="Heading3Char">
    <w:name w:val="AppendicesList"/>
    <w:pPr>
      <w:numPr>
        <w:numId w:val="4"/>
      </w:numPr>
    </w:pPr>
  </w:style>
  <w:style w:type="numbering" w:customStyle="1" w:styleId="Heading4Char">
    <w:name w:val="111111"/>
    <w:pPr>
      <w:numPr>
        <w:numId w:val="2"/>
      </w:numPr>
    </w:pPr>
  </w:style>
  <w:style w:type="numbering" w:customStyle="1" w:styleId="Heading5Char">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0860">
      <w:marLeft w:val="0"/>
      <w:marRight w:val="0"/>
      <w:marTop w:val="0"/>
      <w:marBottom w:val="0"/>
      <w:divBdr>
        <w:top w:val="none" w:sz="0" w:space="0" w:color="auto"/>
        <w:left w:val="none" w:sz="0" w:space="0" w:color="auto"/>
        <w:bottom w:val="none" w:sz="0" w:space="0" w:color="auto"/>
        <w:right w:val="none" w:sz="0" w:space="0" w:color="auto"/>
      </w:divBdr>
    </w:div>
    <w:div w:id="228810861">
      <w:marLeft w:val="0"/>
      <w:marRight w:val="0"/>
      <w:marTop w:val="0"/>
      <w:marBottom w:val="0"/>
      <w:divBdr>
        <w:top w:val="none" w:sz="0" w:space="0" w:color="auto"/>
        <w:left w:val="none" w:sz="0" w:space="0" w:color="auto"/>
        <w:bottom w:val="none" w:sz="0" w:space="0" w:color="auto"/>
        <w:right w:val="none" w:sz="0" w:space="0" w:color="auto"/>
      </w:divBdr>
    </w:div>
    <w:div w:id="2288108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ioCBP@aep.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2012-10-23T08:43:00Z</dcterms:created>
  <dcterms:modified xsi:type="dcterms:W3CDTF">2012-10-23T08:43:00Z</dcterms:modified>
</cp:coreProperties>
</file>